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0E8" w:rsidRPr="00E47ADA" w:rsidRDefault="001921AB" w:rsidP="00D42784">
      <w:pPr>
        <w:jc w:val="center"/>
        <w:rPr>
          <w:rFonts w:cstheme="minorHAnsi"/>
          <w:b/>
          <w:color w:val="FF0000"/>
          <w:sz w:val="24"/>
          <w:szCs w:val="24"/>
        </w:rPr>
      </w:pPr>
      <w:r w:rsidRPr="0089008C">
        <w:rPr>
          <w:rFonts w:cstheme="minorHAnsi"/>
          <w:b/>
          <w:sz w:val="24"/>
          <w:szCs w:val="24"/>
        </w:rPr>
        <w:t>Gender at ISCHE 1994-2012</w:t>
      </w:r>
      <w:r w:rsidR="00E47ADA">
        <w:rPr>
          <w:rFonts w:cstheme="minorHAnsi"/>
          <w:b/>
          <w:sz w:val="24"/>
          <w:szCs w:val="24"/>
        </w:rPr>
        <w:t xml:space="preserve"> </w:t>
      </w:r>
      <w:r w:rsidR="00E17D42">
        <w:rPr>
          <w:rFonts w:cstheme="minorHAnsi"/>
          <w:color w:val="FF0000"/>
          <w:sz w:val="24"/>
          <w:szCs w:val="24"/>
        </w:rPr>
        <w:t>[PPT</w:t>
      </w:r>
      <w:r w:rsidR="00E47ADA" w:rsidRPr="00E47ADA">
        <w:rPr>
          <w:rFonts w:cstheme="minorHAnsi"/>
          <w:color w:val="FF0000"/>
          <w:sz w:val="24"/>
          <w:szCs w:val="24"/>
        </w:rPr>
        <w:t>1]</w:t>
      </w:r>
    </w:p>
    <w:p w:rsidR="000B20E8" w:rsidRPr="0089008C" w:rsidRDefault="00A150AA" w:rsidP="00D42784">
      <w:pPr>
        <w:rPr>
          <w:rFonts w:cstheme="minorHAnsi"/>
          <w:sz w:val="24"/>
          <w:szCs w:val="24"/>
          <w:lang w:val="de-DE"/>
        </w:rPr>
      </w:pPr>
      <w:r w:rsidRPr="0089008C">
        <w:rPr>
          <w:rFonts w:cstheme="minorHAnsi"/>
          <w:sz w:val="24"/>
          <w:szCs w:val="24"/>
        </w:rPr>
        <w:t xml:space="preserve">From the discussion held in the </w:t>
      </w:r>
      <w:r w:rsidR="001370F7">
        <w:rPr>
          <w:rFonts w:cstheme="minorHAnsi"/>
          <w:sz w:val="24"/>
          <w:szCs w:val="24"/>
        </w:rPr>
        <w:t>Standing Working Group on Gender (</w:t>
      </w:r>
      <w:r w:rsidRPr="0089008C">
        <w:rPr>
          <w:rFonts w:cstheme="minorHAnsi"/>
          <w:sz w:val="24"/>
          <w:szCs w:val="24"/>
        </w:rPr>
        <w:t>SWG</w:t>
      </w:r>
      <w:r w:rsidR="001370F7">
        <w:rPr>
          <w:rFonts w:cstheme="minorHAnsi"/>
          <w:sz w:val="24"/>
          <w:szCs w:val="24"/>
        </w:rPr>
        <w:t>G) in</w:t>
      </w:r>
      <w:r w:rsidRPr="0089008C">
        <w:rPr>
          <w:rFonts w:cstheme="minorHAnsi"/>
          <w:sz w:val="24"/>
          <w:szCs w:val="24"/>
        </w:rPr>
        <w:t xml:space="preserve"> Mexico </w:t>
      </w:r>
      <w:r w:rsidR="001370F7">
        <w:rPr>
          <w:rFonts w:cstheme="minorHAnsi"/>
          <w:sz w:val="24"/>
          <w:szCs w:val="24"/>
        </w:rPr>
        <w:t xml:space="preserve">in </w:t>
      </w:r>
      <w:r w:rsidR="006B49E6">
        <w:rPr>
          <w:rFonts w:cstheme="minorHAnsi"/>
          <w:sz w:val="24"/>
          <w:szCs w:val="24"/>
        </w:rPr>
        <w:t>2</w:t>
      </w:r>
      <w:r w:rsidR="001370F7">
        <w:rPr>
          <w:rFonts w:cstheme="minorHAnsi"/>
          <w:sz w:val="24"/>
          <w:szCs w:val="24"/>
        </w:rPr>
        <w:t>011</w:t>
      </w:r>
      <w:r w:rsidRPr="0089008C">
        <w:rPr>
          <w:rFonts w:cstheme="minorHAnsi"/>
          <w:sz w:val="24"/>
          <w:szCs w:val="24"/>
        </w:rPr>
        <w:t xml:space="preserve">, I was </w:t>
      </w:r>
      <w:r w:rsidR="000B20E8" w:rsidRPr="0089008C">
        <w:rPr>
          <w:rFonts w:cstheme="minorHAnsi"/>
          <w:sz w:val="24"/>
          <w:szCs w:val="24"/>
        </w:rPr>
        <w:t>invited to</w:t>
      </w:r>
      <w:r w:rsidRPr="0089008C">
        <w:rPr>
          <w:rFonts w:cstheme="minorHAnsi"/>
          <w:sz w:val="24"/>
          <w:szCs w:val="24"/>
        </w:rPr>
        <w:t xml:space="preserve"> </w:t>
      </w:r>
      <w:r w:rsidRPr="0089008C">
        <w:rPr>
          <w:rFonts w:cstheme="minorHAnsi"/>
          <w:sz w:val="24"/>
          <w:szCs w:val="24"/>
          <w:lang w:val="de-DE"/>
        </w:rPr>
        <w:t xml:space="preserve">examine </w:t>
      </w:r>
      <w:r w:rsidR="001370F7">
        <w:rPr>
          <w:rFonts w:cstheme="minorHAnsi"/>
          <w:sz w:val="24"/>
          <w:szCs w:val="24"/>
          <w:lang w:val="de-DE"/>
        </w:rPr>
        <w:t xml:space="preserve">both </w:t>
      </w:r>
      <w:r w:rsidRPr="0089008C">
        <w:rPr>
          <w:rFonts w:cstheme="minorHAnsi"/>
          <w:sz w:val="24"/>
          <w:szCs w:val="24"/>
          <w:lang w:val="de-DE"/>
        </w:rPr>
        <w:t>the history of the SWG</w:t>
      </w:r>
      <w:r w:rsidR="001370F7">
        <w:rPr>
          <w:rFonts w:cstheme="minorHAnsi"/>
          <w:sz w:val="24"/>
          <w:szCs w:val="24"/>
          <w:lang w:val="de-DE"/>
        </w:rPr>
        <w:t>G</w:t>
      </w:r>
      <w:r w:rsidRPr="0089008C">
        <w:rPr>
          <w:rFonts w:cstheme="minorHAnsi"/>
          <w:sz w:val="24"/>
          <w:szCs w:val="24"/>
          <w:lang w:val="de-DE"/>
        </w:rPr>
        <w:t xml:space="preserve"> </w:t>
      </w:r>
      <w:r w:rsidR="000B20E8" w:rsidRPr="0089008C">
        <w:rPr>
          <w:rFonts w:cstheme="minorHAnsi"/>
          <w:sz w:val="24"/>
          <w:szCs w:val="24"/>
          <w:lang w:val="de-DE"/>
        </w:rPr>
        <w:t xml:space="preserve">over the last 18 years </w:t>
      </w:r>
      <w:r w:rsidRPr="0089008C">
        <w:rPr>
          <w:rFonts w:cstheme="minorHAnsi"/>
          <w:sz w:val="24"/>
          <w:szCs w:val="24"/>
          <w:lang w:val="de-DE"/>
        </w:rPr>
        <w:t xml:space="preserve">and </w:t>
      </w:r>
      <w:r w:rsidR="001370F7">
        <w:rPr>
          <w:rFonts w:cstheme="minorHAnsi"/>
          <w:sz w:val="24"/>
          <w:szCs w:val="24"/>
          <w:lang w:val="de-DE"/>
        </w:rPr>
        <w:t>how far it had</w:t>
      </w:r>
      <w:r w:rsidRPr="0089008C">
        <w:rPr>
          <w:rFonts w:cstheme="minorHAnsi"/>
          <w:sz w:val="24"/>
          <w:szCs w:val="24"/>
          <w:lang w:val="de-DE"/>
        </w:rPr>
        <w:t xml:space="preserve"> realized its changing aims at the ISCHE conferences and in publications, especially </w:t>
      </w:r>
      <w:r w:rsidR="000B20E8" w:rsidRPr="0089008C">
        <w:rPr>
          <w:rFonts w:cstheme="minorHAnsi"/>
          <w:i/>
          <w:sz w:val="24"/>
          <w:szCs w:val="24"/>
          <w:lang w:val="de-DE"/>
        </w:rPr>
        <w:t>P</w:t>
      </w:r>
      <w:r w:rsidRPr="0089008C">
        <w:rPr>
          <w:rFonts w:cstheme="minorHAnsi"/>
          <w:i/>
          <w:iCs/>
          <w:sz w:val="24"/>
          <w:szCs w:val="24"/>
          <w:lang w:val="de-DE"/>
        </w:rPr>
        <w:t>aedagogica Historica</w:t>
      </w:r>
      <w:r w:rsidRPr="0089008C">
        <w:rPr>
          <w:rFonts w:cstheme="minorHAnsi"/>
          <w:sz w:val="24"/>
          <w:szCs w:val="24"/>
          <w:lang w:val="de-DE"/>
        </w:rPr>
        <w:t xml:space="preserve">. </w:t>
      </w:r>
      <w:r w:rsidR="000B20E8" w:rsidRPr="0089008C">
        <w:rPr>
          <w:rFonts w:cstheme="minorHAnsi"/>
          <w:sz w:val="24"/>
          <w:szCs w:val="24"/>
          <w:lang w:val="de-DE"/>
        </w:rPr>
        <w:t xml:space="preserve">As </w:t>
      </w:r>
      <w:r w:rsidR="00954D74">
        <w:rPr>
          <w:rFonts w:cstheme="minorHAnsi"/>
          <w:sz w:val="24"/>
          <w:szCs w:val="24"/>
          <w:lang w:val="de-DE"/>
        </w:rPr>
        <w:t xml:space="preserve">true </w:t>
      </w:r>
      <w:r w:rsidR="000B20E8" w:rsidRPr="0089008C">
        <w:rPr>
          <w:rFonts w:cstheme="minorHAnsi"/>
          <w:sz w:val="24"/>
          <w:szCs w:val="24"/>
          <w:lang w:val="de-DE"/>
        </w:rPr>
        <w:t xml:space="preserve">historians we </w:t>
      </w:r>
      <w:r w:rsidR="00954D74">
        <w:rPr>
          <w:rFonts w:cstheme="minorHAnsi"/>
          <w:sz w:val="24"/>
          <w:szCs w:val="24"/>
          <w:lang w:val="de-DE"/>
        </w:rPr>
        <w:t>want</w:t>
      </w:r>
      <w:r w:rsidR="001370F7">
        <w:rPr>
          <w:rFonts w:cstheme="minorHAnsi"/>
          <w:sz w:val="24"/>
          <w:szCs w:val="24"/>
          <w:lang w:val="de-DE"/>
        </w:rPr>
        <w:t>ed</w:t>
      </w:r>
      <w:r w:rsidR="00954D74">
        <w:rPr>
          <w:rFonts w:cstheme="minorHAnsi"/>
          <w:sz w:val="24"/>
          <w:szCs w:val="24"/>
          <w:lang w:val="de-DE"/>
        </w:rPr>
        <w:t xml:space="preserve"> to </w:t>
      </w:r>
      <w:r w:rsidR="000B20E8" w:rsidRPr="0089008C">
        <w:rPr>
          <w:rFonts w:cstheme="minorHAnsi"/>
          <w:sz w:val="24"/>
          <w:szCs w:val="24"/>
          <w:lang w:val="de-DE"/>
        </w:rPr>
        <w:t xml:space="preserve">explore </w:t>
      </w:r>
      <w:r w:rsidR="00954D74">
        <w:rPr>
          <w:rFonts w:cstheme="minorHAnsi"/>
          <w:sz w:val="24"/>
          <w:szCs w:val="24"/>
          <w:lang w:val="de-DE"/>
        </w:rPr>
        <w:t xml:space="preserve">our </w:t>
      </w:r>
      <w:r w:rsidR="000B20E8" w:rsidRPr="0089008C">
        <w:rPr>
          <w:rFonts w:cstheme="minorHAnsi"/>
          <w:sz w:val="24"/>
          <w:szCs w:val="24"/>
          <w:lang w:val="de-DE"/>
        </w:rPr>
        <w:t>past partly to try and understand our present bett</w:t>
      </w:r>
      <w:r w:rsidR="00954D74">
        <w:rPr>
          <w:rFonts w:cstheme="minorHAnsi"/>
          <w:sz w:val="24"/>
          <w:szCs w:val="24"/>
          <w:lang w:val="de-DE"/>
        </w:rPr>
        <w:t xml:space="preserve">er and make informed decisions </w:t>
      </w:r>
      <w:r w:rsidR="000B20E8" w:rsidRPr="0089008C">
        <w:rPr>
          <w:rFonts w:cstheme="minorHAnsi"/>
          <w:sz w:val="24"/>
          <w:szCs w:val="24"/>
          <w:lang w:val="de-DE"/>
        </w:rPr>
        <w:t>on our future</w:t>
      </w:r>
      <w:r w:rsidR="001370F7">
        <w:rPr>
          <w:rFonts w:cstheme="minorHAnsi"/>
          <w:sz w:val="24"/>
          <w:szCs w:val="24"/>
          <w:lang w:val="de-DE"/>
        </w:rPr>
        <w:t>. We also wished</w:t>
      </w:r>
      <w:r w:rsidR="000B20E8" w:rsidRPr="0089008C">
        <w:rPr>
          <w:rFonts w:cstheme="minorHAnsi"/>
          <w:sz w:val="24"/>
          <w:szCs w:val="24"/>
          <w:lang w:val="de-DE"/>
        </w:rPr>
        <w:t xml:space="preserve"> </w:t>
      </w:r>
      <w:r w:rsidR="009A6F5E" w:rsidRPr="0089008C">
        <w:rPr>
          <w:rFonts w:cstheme="minorHAnsi"/>
          <w:sz w:val="24"/>
          <w:szCs w:val="24"/>
          <w:lang w:val="de-DE"/>
        </w:rPr>
        <w:t xml:space="preserve">to assess </w:t>
      </w:r>
      <w:r w:rsidR="009A6F5E" w:rsidRPr="0089008C">
        <w:rPr>
          <w:rFonts w:cstheme="minorHAnsi"/>
          <w:sz w:val="24"/>
          <w:szCs w:val="24"/>
        </w:rPr>
        <w:t>what the gender group had added to history of education.</w:t>
      </w:r>
      <w:r w:rsidR="000B20E8" w:rsidRPr="0089008C">
        <w:rPr>
          <w:rFonts w:cstheme="minorHAnsi"/>
          <w:sz w:val="24"/>
          <w:szCs w:val="24"/>
          <w:lang w:val="de-DE"/>
        </w:rPr>
        <w:t xml:space="preserve"> I am going back to 1994</w:t>
      </w:r>
      <w:r w:rsidR="0006664C" w:rsidRPr="0089008C">
        <w:rPr>
          <w:rFonts w:cstheme="minorHAnsi"/>
          <w:sz w:val="24"/>
          <w:szCs w:val="24"/>
          <w:lang w:val="de-DE"/>
        </w:rPr>
        <w:t>,</w:t>
      </w:r>
      <w:r w:rsidR="000B20E8" w:rsidRPr="0089008C">
        <w:rPr>
          <w:rFonts w:cstheme="minorHAnsi"/>
          <w:sz w:val="24"/>
          <w:szCs w:val="24"/>
          <w:lang w:val="de-DE"/>
        </w:rPr>
        <w:t xml:space="preserve"> </w:t>
      </w:r>
      <w:r w:rsidR="009A6F5E" w:rsidRPr="0089008C">
        <w:rPr>
          <w:rFonts w:cstheme="minorHAnsi"/>
          <w:sz w:val="24"/>
          <w:szCs w:val="24"/>
          <w:lang w:val="de-DE"/>
        </w:rPr>
        <w:t>not only because that was when I</w:t>
      </w:r>
      <w:r w:rsidR="000B20E8" w:rsidRPr="0089008C">
        <w:rPr>
          <w:rFonts w:cstheme="minorHAnsi"/>
          <w:sz w:val="24"/>
          <w:szCs w:val="24"/>
          <w:lang w:val="de-DE"/>
        </w:rPr>
        <w:t xml:space="preserve"> beg</w:t>
      </w:r>
      <w:r w:rsidR="009A6F5E" w:rsidRPr="0089008C">
        <w:rPr>
          <w:rFonts w:cstheme="minorHAnsi"/>
          <w:sz w:val="24"/>
          <w:szCs w:val="24"/>
          <w:lang w:val="de-DE"/>
        </w:rPr>
        <w:t>an attending ISCHE conferen</w:t>
      </w:r>
      <w:r w:rsidR="000B20E8" w:rsidRPr="0089008C">
        <w:rPr>
          <w:rFonts w:cstheme="minorHAnsi"/>
          <w:sz w:val="24"/>
          <w:szCs w:val="24"/>
          <w:lang w:val="de-DE"/>
        </w:rPr>
        <w:t>ces</w:t>
      </w:r>
      <w:r w:rsidR="0006664C" w:rsidRPr="0089008C">
        <w:rPr>
          <w:rFonts w:cstheme="minorHAnsi"/>
          <w:sz w:val="24"/>
          <w:szCs w:val="24"/>
          <w:lang w:val="de-DE"/>
        </w:rPr>
        <w:t>,</w:t>
      </w:r>
      <w:r w:rsidR="000B20E8" w:rsidRPr="0089008C">
        <w:rPr>
          <w:rFonts w:cstheme="minorHAnsi"/>
          <w:sz w:val="24"/>
          <w:szCs w:val="24"/>
          <w:lang w:val="de-DE"/>
        </w:rPr>
        <w:t xml:space="preserve"> but principally because it was when Geoffrey Giles refounded the SWGG to make it a going concern. In charting the history of the group I shall examine the aims expressed at its successive stages and how far they were realised and try to draw out </w:t>
      </w:r>
      <w:r w:rsidR="00954D74">
        <w:rPr>
          <w:rFonts w:cstheme="minorHAnsi"/>
          <w:sz w:val="24"/>
          <w:szCs w:val="24"/>
          <w:lang w:val="de-DE"/>
        </w:rPr>
        <w:t>themes and issues significant for</w:t>
      </w:r>
      <w:r w:rsidR="000B20E8" w:rsidRPr="0089008C">
        <w:rPr>
          <w:rFonts w:cstheme="minorHAnsi"/>
          <w:sz w:val="24"/>
          <w:szCs w:val="24"/>
          <w:lang w:val="de-DE"/>
        </w:rPr>
        <w:t xml:space="preserve"> this working group and some pointers for the future.</w:t>
      </w:r>
      <w:r w:rsidR="009A6F5E" w:rsidRPr="0089008C">
        <w:rPr>
          <w:rFonts w:cstheme="minorHAnsi"/>
          <w:sz w:val="24"/>
          <w:szCs w:val="24"/>
          <w:lang w:val="de-DE"/>
        </w:rPr>
        <w:t xml:space="preserve"> </w:t>
      </w:r>
      <w:r w:rsidR="003C2AD1" w:rsidRPr="0089008C">
        <w:rPr>
          <w:rFonts w:cstheme="minorHAnsi"/>
          <w:sz w:val="24"/>
          <w:szCs w:val="24"/>
          <w:lang w:val="de-DE"/>
        </w:rPr>
        <w:t xml:space="preserve">To </w:t>
      </w:r>
      <w:r w:rsidR="009A6F5E" w:rsidRPr="0089008C">
        <w:rPr>
          <w:rFonts w:cstheme="minorHAnsi"/>
          <w:sz w:val="24"/>
          <w:szCs w:val="24"/>
          <w:lang w:val="de-DE"/>
        </w:rPr>
        <w:t xml:space="preserve">do this </w:t>
      </w:r>
      <w:r w:rsidR="003C2AD1" w:rsidRPr="0089008C">
        <w:rPr>
          <w:rFonts w:cstheme="minorHAnsi"/>
          <w:sz w:val="24"/>
          <w:szCs w:val="24"/>
          <w:lang w:val="de-DE"/>
        </w:rPr>
        <w:t xml:space="preserve">I have used the programmes and abstracts from conferences plus </w:t>
      </w:r>
      <w:r w:rsidR="003C2AD1" w:rsidRPr="0089008C">
        <w:rPr>
          <w:rFonts w:cstheme="minorHAnsi"/>
          <w:sz w:val="24"/>
          <w:szCs w:val="24"/>
        </w:rPr>
        <w:t xml:space="preserve">my own copious notes taken at these (including on papers subsequently unpublished as far as I know), publications in </w:t>
      </w:r>
      <w:r w:rsidR="003C2AD1" w:rsidRPr="0089008C">
        <w:rPr>
          <w:rFonts w:cstheme="minorHAnsi"/>
          <w:i/>
          <w:sz w:val="24"/>
          <w:szCs w:val="24"/>
        </w:rPr>
        <w:t>Paedagogica Historica</w:t>
      </w:r>
      <w:r w:rsidR="003C2AD1" w:rsidRPr="0089008C">
        <w:rPr>
          <w:rFonts w:cstheme="minorHAnsi"/>
          <w:sz w:val="24"/>
          <w:szCs w:val="24"/>
        </w:rPr>
        <w:t xml:space="preserve"> and, of course, notes from meetings of the Gender group itself. I realise that my notes </w:t>
      </w:r>
      <w:r w:rsidR="002C39BE" w:rsidRPr="0089008C">
        <w:rPr>
          <w:rFonts w:cstheme="minorHAnsi"/>
          <w:sz w:val="24"/>
          <w:szCs w:val="24"/>
        </w:rPr>
        <w:t>mi</w:t>
      </w:r>
      <w:r w:rsidR="009623F1" w:rsidRPr="0089008C">
        <w:rPr>
          <w:rFonts w:cstheme="minorHAnsi"/>
          <w:sz w:val="24"/>
          <w:szCs w:val="24"/>
        </w:rPr>
        <w:t>ght not be reliable so, chiefly, I</w:t>
      </w:r>
      <w:r w:rsidR="002C39BE" w:rsidRPr="0089008C">
        <w:rPr>
          <w:rFonts w:cstheme="minorHAnsi"/>
          <w:sz w:val="24"/>
          <w:szCs w:val="24"/>
        </w:rPr>
        <w:t xml:space="preserve"> have kept to the published sources.</w:t>
      </w:r>
    </w:p>
    <w:p w:rsidR="00EC7B91" w:rsidRPr="0089008C" w:rsidRDefault="0006664C" w:rsidP="00D42784">
      <w:pPr>
        <w:rPr>
          <w:rFonts w:cstheme="minorHAnsi"/>
          <w:sz w:val="24"/>
          <w:szCs w:val="24"/>
          <w:u w:val="single"/>
        </w:rPr>
      </w:pPr>
      <w:r w:rsidRPr="0089008C">
        <w:rPr>
          <w:rFonts w:cstheme="minorHAnsi"/>
          <w:sz w:val="24"/>
          <w:szCs w:val="24"/>
          <w:u w:val="single"/>
        </w:rPr>
        <w:t>ISCHE SWG on Gender</w:t>
      </w:r>
    </w:p>
    <w:p w:rsidR="004B0358" w:rsidRPr="0089008C" w:rsidRDefault="00954D74" w:rsidP="00D42784">
      <w:pPr>
        <w:rPr>
          <w:rFonts w:cstheme="minorHAnsi"/>
          <w:color w:val="00B0F0"/>
          <w:sz w:val="24"/>
          <w:szCs w:val="24"/>
        </w:rPr>
      </w:pPr>
      <w:r>
        <w:rPr>
          <w:rFonts w:cstheme="minorHAnsi"/>
          <w:sz w:val="24"/>
          <w:szCs w:val="24"/>
        </w:rPr>
        <w:t>A</w:t>
      </w:r>
      <w:r w:rsidR="0006664C" w:rsidRPr="0089008C">
        <w:rPr>
          <w:rFonts w:cstheme="minorHAnsi"/>
          <w:sz w:val="24"/>
          <w:szCs w:val="24"/>
        </w:rPr>
        <w:t>n</w:t>
      </w:r>
      <w:r w:rsidR="004B0358" w:rsidRPr="0089008C">
        <w:rPr>
          <w:rFonts w:cstheme="minorHAnsi"/>
          <w:sz w:val="24"/>
          <w:szCs w:val="24"/>
        </w:rPr>
        <w:t xml:space="preserve"> earlier gender group had fizzled out so Geoffrey Giles reconstituted it and</w:t>
      </w:r>
      <w:r w:rsidR="00393E1B" w:rsidRPr="0089008C">
        <w:rPr>
          <w:rFonts w:cstheme="minorHAnsi"/>
          <w:sz w:val="24"/>
          <w:szCs w:val="24"/>
        </w:rPr>
        <w:t xml:space="preserve"> in 1994 </w:t>
      </w:r>
      <w:r w:rsidR="004B0358" w:rsidRPr="0089008C">
        <w:rPr>
          <w:rFonts w:cstheme="minorHAnsi"/>
          <w:sz w:val="24"/>
          <w:szCs w:val="24"/>
        </w:rPr>
        <w:t xml:space="preserve">the new group met in Amsterdam. </w:t>
      </w:r>
      <w:r w:rsidR="004B0358" w:rsidRPr="0089008C">
        <w:rPr>
          <w:rFonts w:cstheme="minorHAnsi"/>
          <w:color w:val="FF0000"/>
          <w:sz w:val="24"/>
          <w:szCs w:val="24"/>
        </w:rPr>
        <w:t>[PPT</w:t>
      </w:r>
      <w:r w:rsidR="00E47ADA">
        <w:rPr>
          <w:rFonts w:cstheme="minorHAnsi"/>
          <w:color w:val="FF0000"/>
          <w:sz w:val="24"/>
          <w:szCs w:val="24"/>
        </w:rPr>
        <w:t>2</w:t>
      </w:r>
      <w:r w:rsidR="004B0358" w:rsidRPr="0089008C">
        <w:rPr>
          <w:rFonts w:cstheme="minorHAnsi"/>
          <w:color w:val="FF0000"/>
          <w:sz w:val="24"/>
          <w:szCs w:val="24"/>
        </w:rPr>
        <w:t xml:space="preserve"> Programme] </w:t>
      </w:r>
      <w:r>
        <w:rPr>
          <w:rFonts w:cstheme="minorHAnsi"/>
          <w:sz w:val="24"/>
          <w:szCs w:val="24"/>
        </w:rPr>
        <w:t>T</w:t>
      </w:r>
      <w:r w:rsidR="004B0358" w:rsidRPr="0089008C">
        <w:rPr>
          <w:rFonts w:cstheme="minorHAnsi"/>
          <w:sz w:val="24"/>
          <w:szCs w:val="24"/>
        </w:rPr>
        <w:t>he 16 participants all spoke within the conference theme of ‘</w:t>
      </w:r>
      <w:r w:rsidR="004A44A0" w:rsidRPr="0089008C">
        <w:rPr>
          <w:rFonts w:cstheme="minorHAnsi"/>
          <w:sz w:val="24"/>
          <w:szCs w:val="24"/>
        </w:rPr>
        <w:t xml:space="preserve">Education and </w:t>
      </w:r>
      <w:r w:rsidR="0006664C" w:rsidRPr="0089008C">
        <w:rPr>
          <w:rFonts w:cstheme="minorHAnsi"/>
          <w:sz w:val="24"/>
          <w:szCs w:val="24"/>
        </w:rPr>
        <w:t xml:space="preserve">Cultural Transfer’ and </w:t>
      </w:r>
      <w:r w:rsidR="004B0358" w:rsidRPr="0089008C">
        <w:rPr>
          <w:rFonts w:cstheme="minorHAnsi"/>
          <w:sz w:val="24"/>
          <w:szCs w:val="24"/>
        </w:rPr>
        <w:t>met within the normal times of the conference. In future years, as a</w:t>
      </w:r>
      <w:r w:rsidR="00040409" w:rsidRPr="0089008C">
        <w:rPr>
          <w:rFonts w:cstheme="minorHAnsi"/>
          <w:sz w:val="24"/>
          <w:szCs w:val="24"/>
        </w:rPr>
        <w:t>n</w:t>
      </w:r>
      <w:r w:rsidR="004B0358" w:rsidRPr="0089008C">
        <w:rPr>
          <w:rFonts w:cstheme="minorHAnsi"/>
          <w:sz w:val="24"/>
          <w:szCs w:val="24"/>
        </w:rPr>
        <w:t xml:space="preserve"> SWG, our sessions were generally before the conference proper started so, although we always wished our sessions to be open to all, in reality not everyone had the opportunity to attend.  </w:t>
      </w:r>
      <w:r w:rsidR="00040409" w:rsidRPr="0089008C">
        <w:rPr>
          <w:rFonts w:cstheme="minorHAnsi"/>
          <w:sz w:val="24"/>
          <w:szCs w:val="24"/>
        </w:rPr>
        <w:t xml:space="preserve">Generally too our papers were not considered for the conference issue of </w:t>
      </w:r>
      <w:r w:rsidR="00040409" w:rsidRPr="0089008C">
        <w:rPr>
          <w:rFonts w:cstheme="minorHAnsi"/>
          <w:i/>
          <w:sz w:val="24"/>
          <w:szCs w:val="24"/>
        </w:rPr>
        <w:t>Paedagogica Historica</w:t>
      </w:r>
      <w:r w:rsidR="00040409" w:rsidRPr="0089008C">
        <w:rPr>
          <w:rFonts w:cstheme="minorHAnsi"/>
          <w:sz w:val="24"/>
          <w:szCs w:val="24"/>
        </w:rPr>
        <w:t>, although in the first year that was not so</w:t>
      </w:r>
      <w:r w:rsidR="00786BCB">
        <w:rPr>
          <w:rFonts w:cstheme="minorHAnsi"/>
          <w:sz w:val="24"/>
          <w:szCs w:val="24"/>
        </w:rPr>
        <w:t xml:space="preserve"> as </w:t>
      </w:r>
      <w:r w:rsidR="006B49E6">
        <w:rPr>
          <w:rFonts w:cstheme="minorHAnsi"/>
          <w:sz w:val="24"/>
          <w:szCs w:val="24"/>
        </w:rPr>
        <w:t xml:space="preserve">those of </w:t>
      </w:r>
      <w:r w:rsidR="00786BCB">
        <w:rPr>
          <w:rFonts w:cstheme="minorHAnsi"/>
          <w:sz w:val="24"/>
          <w:szCs w:val="24"/>
        </w:rPr>
        <w:t>Caroline Bowden and Geoffrey Giles were</w:t>
      </w:r>
      <w:r w:rsidR="006B49E6">
        <w:rPr>
          <w:rFonts w:cstheme="minorHAnsi"/>
          <w:sz w:val="24"/>
          <w:szCs w:val="24"/>
        </w:rPr>
        <w:t xml:space="preserve"> published</w:t>
      </w:r>
      <w:r w:rsidR="00040409" w:rsidRPr="0089008C">
        <w:rPr>
          <w:rFonts w:cstheme="minorHAnsi"/>
          <w:sz w:val="24"/>
          <w:szCs w:val="24"/>
        </w:rPr>
        <w:t>.</w:t>
      </w:r>
      <w:r w:rsidR="009C6647">
        <w:rPr>
          <w:rStyle w:val="FootnoteReference"/>
          <w:rFonts w:cstheme="minorHAnsi"/>
          <w:sz w:val="24"/>
          <w:szCs w:val="24"/>
        </w:rPr>
        <w:footnoteReference w:id="1"/>
      </w:r>
      <w:r w:rsidR="00040409" w:rsidRPr="0089008C">
        <w:rPr>
          <w:rFonts w:cstheme="minorHAnsi"/>
          <w:sz w:val="24"/>
          <w:szCs w:val="24"/>
        </w:rPr>
        <w:t xml:space="preserve"> </w:t>
      </w:r>
    </w:p>
    <w:p w:rsidR="00D33450" w:rsidRPr="0089008C" w:rsidRDefault="00040409" w:rsidP="00D42784">
      <w:pPr>
        <w:rPr>
          <w:rFonts w:cstheme="minorHAnsi"/>
          <w:sz w:val="24"/>
          <w:szCs w:val="24"/>
          <w:lang w:val="de-DE"/>
        </w:rPr>
      </w:pPr>
      <w:r w:rsidRPr="0089008C">
        <w:rPr>
          <w:rFonts w:cstheme="minorHAnsi"/>
          <w:sz w:val="24"/>
          <w:szCs w:val="24"/>
        </w:rPr>
        <w:t xml:space="preserve">What were the aims formed at this first meeting? </w:t>
      </w:r>
      <w:r w:rsidR="000C3290">
        <w:rPr>
          <w:rFonts w:cstheme="minorHAnsi"/>
          <w:sz w:val="24"/>
          <w:szCs w:val="24"/>
        </w:rPr>
        <w:t>At a time when b</w:t>
      </w:r>
      <w:r w:rsidRPr="0089008C">
        <w:rPr>
          <w:rFonts w:cstheme="minorHAnsi"/>
          <w:sz w:val="24"/>
          <w:szCs w:val="24"/>
        </w:rPr>
        <w:t>oth women’s and gender history were be</w:t>
      </w:r>
      <w:r w:rsidR="00EC7B91" w:rsidRPr="0089008C">
        <w:rPr>
          <w:rFonts w:cstheme="minorHAnsi"/>
          <w:sz w:val="24"/>
          <w:szCs w:val="24"/>
        </w:rPr>
        <w:t xml:space="preserve">coming recognised as significant categories of history in some countries </w:t>
      </w:r>
      <w:r w:rsidR="006B49E6">
        <w:rPr>
          <w:rFonts w:cstheme="minorHAnsi"/>
          <w:sz w:val="24"/>
          <w:szCs w:val="24"/>
        </w:rPr>
        <w:t>(</w:t>
      </w:r>
      <w:r w:rsidR="00EC7B91" w:rsidRPr="0089008C">
        <w:rPr>
          <w:rFonts w:cstheme="minorHAnsi"/>
          <w:sz w:val="24"/>
          <w:szCs w:val="24"/>
        </w:rPr>
        <w:t>albeit n</w:t>
      </w:r>
      <w:r w:rsidR="000C3290">
        <w:rPr>
          <w:rFonts w:cstheme="minorHAnsi"/>
          <w:sz w:val="24"/>
          <w:szCs w:val="24"/>
        </w:rPr>
        <w:t xml:space="preserve">ever without </w:t>
      </w:r>
      <w:r w:rsidR="00EC7B91" w:rsidRPr="0089008C">
        <w:rPr>
          <w:rFonts w:cstheme="minorHAnsi"/>
          <w:sz w:val="24"/>
          <w:szCs w:val="24"/>
        </w:rPr>
        <w:t>difficulties</w:t>
      </w:r>
      <w:r w:rsidR="006B49E6">
        <w:rPr>
          <w:rFonts w:cstheme="minorHAnsi"/>
          <w:sz w:val="24"/>
          <w:szCs w:val="24"/>
        </w:rPr>
        <w:t>)</w:t>
      </w:r>
      <w:r w:rsidR="000C3290">
        <w:rPr>
          <w:rFonts w:cstheme="minorHAnsi"/>
          <w:sz w:val="24"/>
          <w:szCs w:val="24"/>
        </w:rPr>
        <w:t>,</w:t>
      </w:r>
      <w:r w:rsidR="00EC7B91" w:rsidRPr="0089008C">
        <w:rPr>
          <w:rFonts w:cstheme="minorHAnsi"/>
          <w:sz w:val="24"/>
          <w:szCs w:val="24"/>
        </w:rPr>
        <w:t xml:space="preserve"> </w:t>
      </w:r>
      <w:r w:rsidR="000C3290">
        <w:rPr>
          <w:rFonts w:cstheme="minorHAnsi"/>
          <w:sz w:val="24"/>
          <w:szCs w:val="24"/>
        </w:rPr>
        <w:t>w</w:t>
      </w:r>
      <w:r w:rsidR="00EC7B91" w:rsidRPr="0089008C">
        <w:rPr>
          <w:rFonts w:cstheme="minorHAnsi"/>
          <w:sz w:val="24"/>
          <w:szCs w:val="24"/>
        </w:rPr>
        <w:t xml:space="preserve">e wished to demonstrate the importance of gender issues in history of education. </w:t>
      </w:r>
      <w:r w:rsidR="00D33450" w:rsidRPr="0089008C">
        <w:rPr>
          <w:rFonts w:cstheme="minorHAnsi"/>
          <w:sz w:val="24"/>
          <w:szCs w:val="24"/>
        </w:rPr>
        <w:t xml:space="preserve">We took </w:t>
      </w:r>
      <w:r w:rsidR="00D33450" w:rsidRPr="0089008C">
        <w:rPr>
          <w:rFonts w:cstheme="minorHAnsi"/>
          <w:sz w:val="24"/>
          <w:szCs w:val="24"/>
          <w:lang w:val="de-DE"/>
        </w:rPr>
        <w:t xml:space="preserve">gender to be about the meanings attributed to ‘woman’ and ‘man’, ‘feminine’ and ‘masculine’ in any time and place and how these impacted on the way different individuals and groups were treated in life and education. We </w:t>
      </w:r>
      <w:r w:rsidR="0006664C" w:rsidRPr="0089008C">
        <w:rPr>
          <w:rFonts w:cstheme="minorHAnsi"/>
          <w:sz w:val="24"/>
          <w:szCs w:val="24"/>
          <w:lang w:val="de-DE"/>
        </w:rPr>
        <w:t xml:space="preserve">welcomed </w:t>
      </w:r>
      <w:r w:rsidR="00D33450" w:rsidRPr="0089008C">
        <w:rPr>
          <w:rFonts w:cstheme="minorHAnsi"/>
          <w:sz w:val="24"/>
          <w:szCs w:val="24"/>
          <w:lang w:val="de-DE"/>
        </w:rPr>
        <w:t>papers on masculinity, but in reality</w:t>
      </w:r>
      <w:r w:rsidR="0006664C" w:rsidRPr="0089008C">
        <w:rPr>
          <w:rFonts w:cstheme="minorHAnsi"/>
          <w:sz w:val="24"/>
          <w:szCs w:val="24"/>
          <w:lang w:val="de-DE"/>
        </w:rPr>
        <w:t xml:space="preserve">, apart from Geoffrey Giles and a few others, this aspect was mostly dealt with in discussions which naturally arose from papers about  </w:t>
      </w:r>
      <w:r w:rsidR="00D33450" w:rsidRPr="0089008C">
        <w:rPr>
          <w:rFonts w:cstheme="minorHAnsi"/>
          <w:sz w:val="24"/>
          <w:szCs w:val="24"/>
          <w:lang w:val="de-DE"/>
        </w:rPr>
        <w:t xml:space="preserve"> </w:t>
      </w:r>
      <w:r w:rsidR="0006664C" w:rsidRPr="0089008C">
        <w:rPr>
          <w:rFonts w:cstheme="minorHAnsi"/>
          <w:sz w:val="24"/>
          <w:szCs w:val="24"/>
          <w:lang w:val="de-DE"/>
        </w:rPr>
        <w:t>women’s history</w:t>
      </w:r>
      <w:r w:rsidR="006B49E6">
        <w:rPr>
          <w:rFonts w:cstheme="minorHAnsi"/>
          <w:sz w:val="24"/>
          <w:szCs w:val="24"/>
          <w:lang w:val="de-DE"/>
        </w:rPr>
        <w:t xml:space="preserve">. This is </w:t>
      </w:r>
      <w:r w:rsidR="0006664C" w:rsidRPr="0089008C">
        <w:rPr>
          <w:rFonts w:cstheme="minorHAnsi"/>
          <w:sz w:val="24"/>
          <w:szCs w:val="24"/>
          <w:lang w:val="de-DE"/>
        </w:rPr>
        <w:t xml:space="preserve">where </w:t>
      </w:r>
      <w:r w:rsidR="00D33450" w:rsidRPr="0089008C">
        <w:rPr>
          <w:rFonts w:cstheme="minorHAnsi"/>
          <w:sz w:val="24"/>
          <w:szCs w:val="24"/>
          <w:lang w:val="de-DE"/>
        </w:rPr>
        <w:t>our focus has mostly been</w:t>
      </w:r>
      <w:r w:rsidR="0006664C" w:rsidRPr="0089008C">
        <w:rPr>
          <w:rFonts w:cstheme="minorHAnsi"/>
          <w:sz w:val="24"/>
          <w:szCs w:val="24"/>
          <w:lang w:val="de-DE"/>
        </w:rPr>
        <w:t xml:space="preserve"> since most members of the group</w:t>
      </w:r>
      <w:r w:rsidR="00D33450" w:rsidRPr="0089008C">
        <w:rPr>
          <w:rFonts w:cstheme="minorHAnsi"/>
          <w:sz w:val="24"/>
          <w:szCs w:val="24"/>
          <w:lang w:val="de-DE"/>
        </w:rPr>
        <w:t xml:space="preserve"> </w:t>
      </w:r>
      <w:r w:rsidR="007A4DA1" w:rsidRPr="0089008C">
        <w:rPr>
          <w:rFonts w:cstheme="minorHAnsi"/>
          <w:sz w:val="24"/>
          <w:szCs w:val="24"/>
          <w:lang w:val="de-DE"/>
        </w:rPr>
        <w:lastRenderedPageBreak/>
        <w:t>have come to gender issues through this and have been eager to explore the history of those so often</w:t>
      </w:r>
      <w:r w:rsidR="00D33450" w:rsidRPr="0089008C">
        <w:rPr>
          <w:rFonts w:cstheme="minorHAnsi"/>
          <w:sz w:val="24"/>
          <w:szCs w:val="24"/>
          <w:lang w:val="de-DE"/>
        </w:rPr>
        <w:t xml:space="preserve"> ignored in history. </w:t>
      </w:r>
    </w:p>
    <w:p w:rsidR="00767773" w:rsidRPr="0089008C" w:rsidRDefault="00A83EBA" w:rsidP="00D42784">
      <w:pPr>
        <w:rPr>
          <w:rFonts w:cstheme="minorHAnsi"/>
          <w:color w:val="FF0000"/>
          <w:sz w:val="24"/>
          <w:szCs w:val="24"/>
          <w:lang w:val="de-DE"/>
        </w:rPr>
      </w:pPr>
      <w:r w:rsidRPr="0089008C">
        <w:rPr>
          <w:rFonts w:cstheme="minorHAnsi"/>
          <w:sz w:val="24"/>
          <w:szCs w:val="24"/>
          <w:lang w:val="de-DE"/>
        </w:rPr>
        <w:t>It was through Geoffrey that we also achieved another aim – that of making gender and history of education a presence at the International Congress of Historical Sciences (known as ICHS or CISH), a large gathering of historians of all sorts who me</w:t>
      </w:r>
      <w:r w:rsidR="006B49E6">
        <w:rPr>
          <w:rFonts w:cstheme="minorHAnsi"/>
          <w:sz w:val="24"/>
          <w:szCs w:val="24"/>
          <w:lang w:val="de-DE"/>
        </w:rPr>
        <w:t>e</w:t>
      </w:r>
      <w:r w:rsidRPr="0089008C">
        <w:rPr>
          <w:rFonts w:cstheme="minorHAnsi"/>
          <w:sz w:val="24"/>
          <w:szCs w:val="24"/>
          <w:lang w:val="de-DE"/>
        </w:rPr>
        <w:t>t in different interantional cities, once</w:t>
      </w:r>
      <w:r w:rsidR="009623F1" w:rsidRPr="0089008C">
        <w:rPr>
          <w:rFonts w:cstheme="minorHAnsi"/>
          <w:sz w:val="24"/>
          <w:szCs w:val="24"/>
          <w:lang w:val="de-DE"/>
        </w:rPr>
        <w:t xml:space="preserve"> every five years. In 1995 the G</w:t>
      </w:r>
      <w:r w:rsidRPr="0089008C">
        <w:rPr>
          <w:rFonts w:cstheme="minorHAnsi"/>
          <w:sz w:val="24"/>
          <w:szCs w:val="24"/>
          <w:lang w:val="de-DE"/>
        </w:rPr>
        <w:t xml:space="preserve">ender group </w:t>
      </w:r>
      <w:r w:rsidR="007C454C" w:rsidRPr="0089008C">
        <w:rPr>
          <w:rFonts w:cstheme="minorHAnsi"/>
          <w:sz w:val="24"/>
          <w:szCs w:val="24"/>
          <w:lang w:val="de-DE"/>
        </w:rPr>
        <w:t xml:space="preserve"> - 18 of us, including some who</w:t>
      </w:r>
      <w:r w:rsidR="006B49E6">
        <w:rPr>
          <w:rFonts w:cstheme="minorHAnsi"/>
          <w:sz w:val="24"/>
          <w:szCs w:val="24"/>
          <w:lang w:val="de-DE"/>
        </w:rPr>
        <w:t>,</w:t>
      </w:r>
      <w:r w:rsidR="007C454C" w:rsidRPr="0089008C">
        <w:rPr>
          <w:rFonts w:cstheme="minorHAnsi"/>
          <w:sz w:val="24"/>
          <w:szCs w:val="24"/>
          <w:lang w:val="de-DE"/>
        </w:rPr>
        <w:t xml:space="preserve"> before and after</w:t>
      </w:r>
      <w:r w:rsidR="006B49E6">
        <w:rPr>
          <w:rFonts w:cstheme="minorHAnsi"/>
          <w:sz w:val="24"/>
          <w:szCs w:val="24"/>
          <w:lang w:val="de-DE"/>
        </w:rPr>
        <w:t>,</w:t>
      </w:r>
      <w:r w:rsidR="007C454C" w:rsidRPr="0089008C">
        <w:rPr>
          <w:rFonts w:cstheme="minorHAnsi"/>
          <w:sz w:val="24"/>
          <w:szCs w:val="24"/>
          <w:lang w:val="de-DE"/>
        </w:rPr>
        <w:t xml:space="preserve"> were not generally attenders of gender sessions – had a whole day </w:t>
      </w:r>
      <w:r w:rsidR="007A4DA1" w:rsidRPr="0089008C">
        <w:rPr>
          <w:rFonts w:cstheme="minorHAnsi"/>
          <w:sz w:val="24"/>
          <w:szCs w:val="24"/>
          <w:lang w:val="de-DE"/>
        </w:rPr>
        <w:t xml:space="preserve">at the CISH conference in Montreal </w:t>
      </w:r>
      <w:r w:rsidR="007C454C" w:rsidRPr="0089008C">
        <w:rPr>
          <w:rFonts w:cstheme="minorHAnsi"/>
          <w:sz w:val="24"/>
          <w:szCs w:val="24"/>
          <w:lang w:val="de-DE"/>
        </w:rPr>
        <w:t xml:space="preserve">after the main conference had ended. </w:t>
      </w:r>
      <w:r w:rsidR="007C454C" w:rsidRPr="0089008C">
        <w:rPr>
          <w:rFonts w:cstheme="minorHAnsi"/>
          <w:color w:val="FF0000"/>
          <w:sz w:val="24"/>
          <w:szCs w:val="24"/>
          <w:lang w:val="de-DE"/>
        </w:rPr>
        <w:t>[PPT</w:t>
      </w:r>
      <w:r w:rsidR="00E47ADA">
        <w:rPr>
          <w:rFonts w:cstheme="minorHAnsi"/>
          <w:color w:val="FF0000"/>
          <w:sz w:val="24"/>
          <w:szCs w:val="24"/>
          <w:lang w:val="de-DE"/>
        </w:rPr>
        <w:t>3</w:t>
      </w:r>
      <w:r w:rsidR="007C454C" w:rsidRPr="0089008C">
        <w:rPr>
          <w:rFonts w:cstheme="minorHAnsi"/>
          <w:color w:val="FF0000"/>
          <w:sz w:val="24"/>
          <w:szCs w:val="24"/>
          <w:lang w:val="de-DE"/>
        </w:rPr>
        <w:t xml:space="preserve"> Montreal] </w:t>
      </w:r>
      <w:r w:rsidR="007C454C" w:rsidRPr="0089008C">
        <w:rPr>
          <w:rFonts w:cstheme="minorHAnsi"/>
          <w:sz w:val="24"/>
          <w:szCs w:val="24"/>
          <w:lang w:val="de-DE"/>
        </w:rPr>
        <w:t xml:space="preserve">We were not a constituent part of the Congress since ISCHE was not then affiliated to it, but we attracted a large and attentive audience. </w:t>
      </w:r>
      <w:r w:rsidR="00087A27" w:rsidRPr="0089008C">
        <w:rPr>
          <w:rFonts w:cstheme="minorHAnsi"/>
          <w:sz w:val="24"/>
          <w:szCs w:val="24"/>
          <w:lang w:val="de-DE"/>
        </w:rPr>
        <w:t>Geoffrey photocopied our papers and produced them as a book for the participants.</w:t>
      </w:r>
      <w:r w:rsidR="009C6647">
        <w:rPr>
          <w:rStyle w:val="FootnoteReference"/>
          <w:rFonts w:cstheme="minorHAnsi"/>
          <w:sz w:val="24"/>
          <w:szCs w:val="24"/>
          <w:lang w:val="de-DE"/>
        </w:rPr>
        <w:footnoteReference w:id="2"/>
      </w:r>
      <w:r w:rsidR="00087A27" w:rsidRPr="0089008C">
        <w:rPr>
          <w:rFonts w:cstheme="minorHAnsi"/>
          <w:sz w:val="24"/>
          <w:szCs w:val="24"/>
          <w:lang w:val="de-DE"/>
        </w:rPr>
        <w:t xml:space="preserve"> </w:t>
      </w:r>
      <w:r w:rsidR="00087A27" w:rsidRPr="0089008C">
        <w:rPr>
          <w:rFonts w:cstheme="minorHAnsi"/>
          <w:color w:val="FF0000"/>
          <w:sz w:val="24"/>
          <w:szCs w:val="24"/>
          <w:lang w:val="de-DE"/>
        </w:rPr>
        <w:t>[PPT</w:t>
      </w:r>
      <w:r w:rsidR="00E47ADA">
        <w:rPr>
          <w:rFonts w:cstheme="minorHAnsi"/>
          <w:color w:val="FF0000"/>
          <w:sz w:val="24"/>
          <w:szCs w:val="24"/>
          <w:lang w:val="de-DE"/>
        </w:rPr>
        <w:t>4</w:t>
      </w:r>
      <w:r w:rsidR="00087A27" w:rsidRPr="0089008C">
        <w:rPr>
          <w:rFonts w:cstheme="minorHAnsi"/>
          <w:color w:val="FF0000"/>
          <w:sz w:val="24"/>
          <w:szCs w:val="24"/>
          <w:lang w:val="de-DE"/>
        </w:rPr>
        <w:t xml:space="preserve"> Montr</w:t>
      </w:r>
      <w:r w:rsidR="00564DA7" w:rsidRPr="0089008C">
        <w:rPr>
          <w:rFonts w:cstheme="minorHAnsi"/>
          <w:color w:val="FF0000"/>
          <w:sz w:val="24"/>
          <w:szCs w:val="24"/>
          <w:lang w:val="de-DE"/>
        </w:rPr>
        <w:t>e</w:t>
      </w:r>
      <w:r w:rsidR="00087A27" w:rsidRPr="0089008C">
        <w:rPr>
          <w:rFonts w:cstheme="minorHAnsi"/>
          <w:color w:val="FF0000"/>
          <w:sz w:val="24"/>
          <w:szCs w:val="24"/>
          <w:lang w:val="de-DE"/>
        </w:rPr>
        <w:t xml:space="preserve">al book cover]. </w:t>
      </w:r>
      <w:r w:rsidR="00087A27" w:rsidRPr="0089008C">
        <w:rPr>
          <w:rFonts w:cstheme="minorHAnsi"/>
          <w:sz w:val="24"/>
          <w:szCs w:val="24"/>
          <w:lang w:val="de-DE"/>
        </w:rPr>
        <w:t xml:space="preserve">We also had a </w:t>
      </w:r>
      <w:r w:rsidR="009623F1" w:rsidRPr="0089008C">
        <w:rPr>
          <w:rFonts w:cstheme="minorHAnsi"/>
          <w:sz w:val="24"/>
          <w:szCs w:val="24"/>
          <w:lang w:val="de-DE"/>
        </w:rPr>
        <w:t>G</w:t>
      </w:r>
      <w:r w:rsidR="00087A27" w:rsidRPr="0089008C">
        <w:rPr>
          <w:rFonts w:cstheme="minorHAnsi"/>
          <w:sz w:val="24"/>
          <w:szCs w:val="24"/>
          <w:lang w:val="de-DE"/>
        </w:rPr>
        <w:t>ender group meeting in Berlin at the ISCHE conference</w:t>
      </w:r>
      <w:r w:rsidR="008F6144">
        <w:rPr>
          <w:rFonts w:cstheme="minorHAnsi"/>
          <w:sz w:val="24"/>
          <w:szCs w:val="24"/>
          <w:lang w:val="de-DE"/>
        </w:rPr>
        <w:t xml:space="preserve"> on T</w:t>
      </w:r>
      <w:r w:rsidR="004A44A0" w:rsidRPr="0089008C">
        <w:rPr>
          <w:rFonts w:cstheme="minorHAnsi"/>
          <w:sz w:val="24"/>
          <w:szCs w:val="24"/>
          <w:lang w:val="de-DE"/>
        </w:rPr>
        <w:t>he History of Educational studies</w:t>
      </w:r>
      <w:r w:rsidR="00087A27" w:rsidRPr="0089008C">
        <w:rPr>
          <w:rFonts w:cstheme="minorHAnsi"/>
          <w:sz w:val="24"/>
          <w:szCs w:val="24"/>
          <w:lang w:val="de-DE"/>
        </w:rPr>
        <w:t xml:space="preserve"> a month later and then one the following year at Kraków </w:t>
      </w:r>
      <w:r w:rsidR="008F6144">
        <w:rPr>
          <w:rFonts w:cstheme="minorHAnsi"/>
          <w:sz w:val="24"/>
          <w:szCs w:val="24"/>
          <w:lang w:val="de-DE"/>
        </w:rPr>
        <w:t>on Schooling in Changing Societies</w:t>
      </w:r>
      <w:r w:rsidR="000C3290">
        <w:rPr>
          <w:rFonts w:cstheme="minorHAnsi"/>
          <w:sz w:val="24"/>
          <w:szCs w:val="24"/>
          <w:lang w:val="de-DE"/>
        </w:rPr>
        <w:t xml:space="preserve"> </w:t>
      </w:r>
      <w:r w:rsidR="00087A27" w:rsidRPr="0089008C">
        <w:rPr>
          <w:rFonts w:cstheme="minorHAnsi"/>
          <w:sz w:val="24"/>
          <w:szCs w:val="24"/>
          <w:lang w:val="de-DE"/>
        </w:rPr>
        <w:t>where Geoffrey once again made a phot</w:t>
      </w:r>
      <w:r w:rsidR="00B37747" w:rsidRPr="0089008C">
        <w:rPr>
          <w:rFonts w:cstheme="minorHAnsi"/>
          <w:sz w:val="24"/>
          <w:szCs w:val="24"/>
          <w:lang w:val="de-DE"/>
        </w:rPr>
        <w:t>o</w:t>
      </w:r>
      <w:r w:rsidR="00087A27" w:rsidRPr="0089008C">
        <w:rPr>
          <w:rFonts w:cstheme="minorHAnsi"/>
          <w:sz w:val="24"/>
          <w:szCs w:val="24"/>
          <w:lang w:val="de-DE"/>
        </w:rPr>
        <w:t>copied book.</w:t>
      </w:r>
      <w:r w:rsidR="009C6647">
        <w:rPr>
          <w:rStyle w:val="FootnoteReference"/>
          <w:rFonts w:cstheme="minorHAnsi"/>
          <w:sz w:val="24"/>
          <w:szCs w:val="24"/>
          <w:lang w:val="de-DE"/>
        </w:rPr>
        <w:footnoteReference w:id="3"/>
      </w:r>
      <w:r w:rsidR="00087A27" w:rsidRPr="0089008C">
        <w:rPr>
          <w:rFonts w:cstheme="minorHAnsi"/>
          <w:sz w:val="24"/>
          <w:szCs w:val="24"/>
          <w:lang w:val="de-DE"/>
        </w:rPr>
        <w:t xml:space="preserve"> </w:t>
      </w:r>
      <w:r w:rsidR="00786BCB">
        <w:rPr>
          <w:rFonts w:cstheme="minorHAnsi"/>
          <w:color w:val="FF0000"/>
          <w:sz w:val="24"/>
          <w:szCs w:val="24"/>
          <w:lang w:val="de-DE"/>
        </w:rPr>
        <w:t>[PPT</w:t>
      </w:r>
      <w:r w:rsidR="00E47ADA">
        <w:rPr>
          <w:rFonts w:cstheme="minorHAnsi"/>
          <w:color w:val="FF0000"/>
          <w:sz w:val="24"/>
          <w:szCs w:val="24"/>
          <w:lang w:val="de-DE"/>
        </w:rPr>
        <w:t>5</w:t>
      </w:r>
      <w:r w:rsidR="00786BCB">
        <w:rPr>
          <w:rFonts w:cstheme="minorHAnsi"/>
          <w:color w:val="FF0000"/>
          <w:sz w:val="24"/>
          <w:szCs w:val="24"/>
          <w:lang w:val="de-DE"/>
        </w:rPr>
        <w:t xml:space="preserve"> Kraków]</w:t>
      </w:r>
      <w:r w:rsidR="00087A27" w:rsidRPr="0089008C">
        <w:rPr>
          <w:rFonts w:cstheme="minorHAnsi"/>
          <w:color w:val="FF0000"/>
          <w:sz w:val="24"/>
          <w:szCs w:val="24"/>
          <w:lang w:val="de-DE"/>
        </w:rPr>
        <w:t xml:space="preserve"> </w:t>
      </w:r>
    </w:p>
    <w:p w:rsidR="00C94196" w:rsidRPr="0089008C" w:rsidRDefault="00C94196" w:rsidP="00D42784">
      <w:pPr>
        <w:pStyle w:val="NoSpacing"/>
        <w:spacing w:line="276" w:lineRule="auto"/>
        <w:rPr>
          <w:rFonts w:cstheme="minorHAnsi"/>
          <w:sz w:val="24"/>
          <w:szCs w:val="24"/>
        </w:rPr>
      </w:pPr>
      <w:r w:rsidRPr="0089008C">
        <w:rPr>
          <w:rFonts w:cstheme="minorHAnsi"/>
          <w:sz w:val="24"/>
          <w:szCs w:val="24"/>
          <w:lang w:val="de-DE"/>
        </w:rPr>
        <w:t xml:space="preserve">Some papers on gender did appear in </w:t>
      </w:r>
      <w:r w:rsidRPr="0089008C">
        <w:rPr>
          <w:rFonts w:cstheme="minorHAnsi"/>
          <w:i/>
          <w:sz w:val="24"/>
          <w:szCs w:val="24"/>
          <w:lang w:val="de-DE"/>
        </w:rPr>
        <w:t xml:space="preserve">Paedagogica Historica </w:t>
      </w:r>
      <w:r w:rsidRPr="0089008C">
        <w:rPr>
          <w:rFonts w:cstheme="minorHAnsi"/>
          <w:sz w:val="24"/>
          <w:szCs w:val="24"/>
          <w:lang w:val="de-DE"/>
        </w:rPr>
        <w:t xml:space="preserve"> in these years</w:t>
      </w:r>
      <w:r w:rsidR="00B37747" w:rsidRPr="0089008C">
        <w:rPr>
          <w:rFonts w:cstheme="minorHAnsi"/>
          <w:sz w:val="24"/>
          <w:szCs w:val="24"/>
          <w:lang w:val="de-DE"/>
        </w:rPr>
        <w:t>.</w:t>
      </w:r>
      <w:r w:rsidRPr="0089008C">
        <w:rPr>
          <w:rFonts w:cstheme="minorHAnsi"/>
          <w:sz w:val="24"/>
          <w:szCs w:val="24"/>
          <w:lang w:val="de-DE"/>
        </w:rPr>
        <w:t xml:space="preserve"> </w:t>
      </w:r>
      <w:r w:rsidR="00B37747" w:rsidRPr="0089008C">
        <w:rPr>
          <w:rFonts w:cstheme="minorHAnsi"/>
          <w:sz w:val="24"/>
          <w:szCs w:val="24"/>
          <w:lang w:val="de-DE"/>
        </w:rPr>
        <w:t>T</w:t>
      </w:r>
      <w:r w:rsidRPr="0089008C">
        <w:rPr>
          <w:rFonts w:cstheme="minorHAnsi"/>
          <w:sz w:val="24"/>
          <w:szCs w:val="24"/>
          <w:lang w:val="de-DE"/>
        </w:rPr>
        <w:t>hose arising from ISCHE conferences</w:t>
      </w:r>
      <w:r w:rsidR="00B37747" w:rsidRPr="0089008C">
        <w:rPr>
          <w:rFonts w:cstheme="minorHAnsi"/>
          <w:sz w:val="24"/>
          <w:szCs w:val="24"/>
          <w:lang w:val="de-DE"/>
        </w:rPr>
        <w:t xml:space="preserve"> were often from other sessions than those of the SWG </w:t>
      </w:r>
      <w:r w:rsidRPr="0089008C">
        <w:rPr>
          <w:rFonts w:cstheme="minorHAnsi"/>
          <w:sz w:val="24"/>
          <w:szCs w:val="24"/>
          <w:lang w:val="de-DE"/>
        </w:rPr>
        <w:t>.</w:t>
      </w:r>
      <w:r w:rsidR="00B37747" w:rsidRPr="0089008C">
        <w:rPr>
          <w:rFonts w:cstheme="minorHAnsi"/>
          <w:sz w:val="24"/>
          <w:szCs w:val="24"/>
          <w:lang w:val="de-DE"/>
        </w:rPr>
        <w:t xml:space="preserve"> </w:t>
      </w:r>
      <w:r w:rsidR="00B37747" w:rsidRPr="0089008C">
        <w:rPr>
          <w:rFonts w:cstheme="minorHAnsi"/>
          <w:sz w:val="24"/>
          <w:szCs w:val="24"/>
        </w:rPr>
        <w:t xml:space="preserve">For example </w:t>
      </w:r>
      <w:r w:rsidR="00786BCB" w:rsidRPr="00786BCB">
        <w:rPr>
          <w:rFonts w:cstheme="minorHAnsi"/>
          <w:color w:val="FF0000"/>
          <w:sz w:val="24"/>
          <w:szCs w:val="24"/>
        </w:rPr>
        <w:t>[PPT</w:t>
      </w:r>
      <w:r w:rsidR="00E47ADA">
        <w:rPr>
          <w:rFonts w:cstheme="minorHAnsi"/>
          <w:color w:val="FF0000"/>
          <w:sz w:val="24"/>
          <w:szCs w:val="24"/>
        </w:rPr>
        <w:t>6</w:t>
      </w:r>
      <w:r w:rsidR="00B37747" w:rsidRPr="008F6144">
        <w:rPr>
          <w:rFonts w:cstheme="minorHAnsi"/>
          <w:color w:val="FF0000"/>
          <w:sz w:val="24"/>
          <w:szCs w:val="24"/>
        </w:rPr>
        <w:t xml:space="preserve"> </w:t>
      </w:r>
      <w:r w:rsidR="00B37747" w:rsidRPr="008F6144">
        <w:rPr>
          <w:rFonts w:cstheme="minorHAnsi"/>
          <w:i/>
          <w:color w:val="FF0000"/>
          <w:sz w:val="24"/>
          <w:szCs w:val="24"/>
        </w:rPr>
        <w:t>Paedagogica Historica</w:t>
      </w:r>
      <w:r w:rsidR="00B37747" w:rsidRPr="008F6144">
        <w:rPr>
          <w:rFonts w:cstheme="minorHAnsi"/>
          <w:color w:val="FF0000"/>
          <w:sz w:val="24"/>
          <w:szCs w:val="24"/>
        </w:rPr>
        <w:t>, Supplementary Series II (1996) on ‘Education and Cultural Transmission’ (1994 Amsterdam</w:t>
      </w:r>
      <w:r w:rsidR="008F6144" w:rsidRPr="008F6144">
        <w:rPr>
          <w:rFonts w:cstheme="minorHAnsi"/>
          <w:color w:val="FF0000"/>
          <w:sz w:val="24"/>
          <w:szCs w:val="24"/>
        </w:rPr>
        <w:t>]</w:t>
      </w:r>
      <w:r w:rsidR="00B37747" w:rsidRPr="008F6144">
        <w:rPr>
          <w:rFonts w:cstheme="minorHAnsi"/>
          <w:sz w:val="24"/>
          <w:szCs w:val="24"/>
        </w:rPr>
        <w:t>,</w:t>
      </w:r>
      <w:r w:rsidR="00B37747" w:rsidRPr="0089008C">
        <w:rPr>
          <w:rFonts w:cstheme="minorHAnsi"/>
          <w:sz w:val="24"/>
          <w:szCs w:val="24"/>
        </w:rPr>
        <w:t xml:space="preserve"> published papers on the family, a theme which lends itself to gender issues </w:t>
      </w:r>
      <w:r w:rsidR="008F6144">
        <w:rPr>
          <w:rFonts w:cstheme="minorHAnsi"/>
          <w:sz w:val="24"/>
          <w:szCs w:val="24"/>
        </w:rPr>
        <w:t>(</w:t>
      </w:r>
      <w:r w:rsidR="00B37747" w:rsidRPr="008F6144">
        <w:rPr>
          <w:rFonts w:cstheme="minorHAnsi"/>
          <w:sz w:val="24"/>
          <w:szCs w:val="24"/>
        </w:rPr>
        <w:t>once</w:t>
      </w:r>
      <w:r w:rsidR="008F6144">
        <w:rPr>
          <w:rFonts w:cstheme="minorHAnsi"/>
          <w:sz w:val="24"/>
          <w:szCs w:val="24"/>
        </w:rPr>
        <w:t>, of course,</w:t>
      </w:r>
      <w:r w:rsidR="00B37747" w:rsidRPr="008F6144">
        <w:rPr>
          <w:rFonts w:cstheme="minorHAnsi"/>
          <w:sz w:val="24"/>
          <w:szCs w:val="24"/>
        </w:rPr>
        <w:t xml:space="preserve"> historians </w:t>
      </w:r>
      <w:r w:rsidR="008F6144">
        <w:rPr>
          <w:rFonts w:cstheme="minorHAnsi"/>
          <w:sz w:val="24"/>
          <w:szCs w:val="24"/>
        </w:rPr>
        <w:t xml:space="preserve">are more aware of these; </w:t>
      </w:r>
      <w:r w:rsidR="00B37747" w:rsidRPr="0089008C">
        <w:rPr>
          <w:rFonts w:cstheme="minorHAnsi"/>
          <w:sz w:val="24"/>
          <w:szCs w:val="24"/>
        </w:rPr>
        <w:t>an article on youth movements in this edition only mentions boys).</w:t>
      </w:r>
      <w:r w:rsidR="00E37BBA" w:rsidRPr="0089008C">
        <w:rPr>
          <w:rFonts w:cstheme="minorHAnsi"/>
          <w:sz w:val="24"/>
          <w:szCs w:val="24"/>
        </w:rPr>
        <w:t xml:space="preserve"> </w:t>
      </w:r>
    </w:p>
    <w:p w:rsidR="00815259" w:rsidRPr="0089008C" w:rsidRDefault="00815259" w:rsidP="00D42784">
      <w:pPr>
        <w:pStyle w:val="NoSpacing"/>
        <w:spacing w:line="276" w:lineRule="auto"/>
        <w:rPr>
          <w:rFonts w:cstheme="minorHAnsi"/>
          <w:sz w:val="24"/>
          <w:szCs w:val="24"/>
        </w:rPr>
      </w:pPr>
    </w:p>
    <w:p w:rsidR="00815259" w:rsidRPr="0089008C" w:rsidRDefault="00815259" w:rsidP="00D42784">
      <w:pPr>
        <w:pStyle w:val="NoSpacing"/>
        <w:spacing w:line="276" w:lineRule="auto"/>
        <w:rPr>
          <w:rFonts w:cstheme="minorHAnsi"/>
          <w:sz w:val="24"/>
          <w:szCs w:val="24"/>
        </w:rPr>
      </w:pPr>
      <w:r w:rsidRPr="0089008C">
        <w:rPr>
          <w:rFonts w:cstheme="minorHAnsi"/>
          <w:sz w:val="24"/>
          <w:szCs w:val="24"/>
        </w:rPr>
        <w:t xml:space="preserve">Another aspect of the Gender group meetings which I particularly enjoyed was the way </w:t>
      </w:r>
      <w:r w:rsidR="008F6144">
        <w:rPr>
          <w:rFonts w:cstheme="minorHAnsi"/>
          <w:sz w:val="24"/>
          <w:szCs w:val="24"/>
        </w:rPr>
        <w:t xml:space="preserve">regular </w:t>
      </w:r>
      <w:proofErr w:type="spellStart"/>
      <w:r w:rsidR="008F6144">
        <w:rPr>
          <w:rFonts w:cstheme="minorHAnsi"/>
          <w:sz w:val="24"/>
          <w:szCs w:val="24"/>
        </w:rPr>
        <w:t>attenders</w:t>
      </w:r>
      <w:proofErr w:type="spellEnd"/>
      <w:r w:rsidRPr="0089008C">
        <w:rPr>
          <w:rFonts w:cstheme="minorHAnsi"/>
          <w:sz w:val="24"/>
          <w:szCs w:val="24"/>
        </w:rPr>
        <w:t xml:space="preserve"> could perceive individual authors developing their ideas. This was especially so with those core members whose presentations to their international audience year by year demonstrated how their research was progressing.  </w:t>
      </w:r>
      <w:r w:rsidR="00786BCB" w:rsidRPr="00786BCB">
        <w:rPr>
          <w:rFonts w:cstheme="minorHAnsi"/>
          <w:color w:val="FF0000"/>
          <w:sz w:val="24"/>
          <w:szCs w:val="24"/>
        </w:rPr>
        <w:t>[</w:t>
      </w:r>
      <w:r w:rsidR="00786BCB" w:rsidRPr="0089008C">
        <w:rPr>
          <w:rFonts w:cstheme="minorHAnsi"/>
          <w:color w:val="FF0000"/>
          <w:sz w:val="24"/>
          <w:szCs w:val="24"/>
          <w:lang w:val="de-DE"/>
        </w:rPr>
        <w:t>PPT</w:t>
      </w:r>
      <w:r w:rsidR="00E47ADA">
        <w:rPr>
          <w:rFonts w:cstheme="minorHAnsi"/>
          <w:color w:val="FF0000"/>
          <w:sz w:val="24"/>
          <w:szCs w:val="24"/>
          <w:lang w:val="de-DE"/>
        </w:rPr>
        <w:t>7</w:t>
      </w:r>
      <w:r w:rsidR="00786BCB" w:rsidRPr="0089008C">
        <w:rPr>
          <w:rFonts w:cstheme="minorHAnsi"/>
          <w:color w:val="FF0000"/>
          <w:sz w:val="24"/>
          <w:szCs w:val="24"/>
          <w:lang w:val="de-DE"/>
        </w:rPr>
        <w:t xml:space="preserve"> Gender meeting</w:t>
      </w:r>
      <w:r w:rsidR="00786BCB">
        <w:rPr>
          <w:rFonts w:cstheme="minorHAnsi"/>
          <w:color w:val="FF0000"/>
          <w:sz w:val="24"/>
          <w:szCs w:val="24"/>
          <w:lang w:val="de-DE"/>
        </w:rPr>
        <w:t>, Krakow</w:t>
      </w:r>
      <w:r w:rsidR="00786BCB" w:rsidRPr="0089008C">
        <w:rPr>
          <w:rFonts w:cstheme="minorHAnsi"/>
          <w:color w:val="FF0000"/>
          <w:sz w:val="24"/>
          <w:szCs w:val="24"/>
          <w:lang w:val="de-DE"/>
        </w:rPr>
        <w:t xml:space="preserve">] </w:t>
      </w:r>
      <w:r w:rsidRPr="0089008C">
        <w:rPr>
          <w:rFonts w:cstheme="minorHAnsi"/>
          <w:sz w:val="24"/>
          <w:szCs w:val="24"/>
        </w:rPr>
        <w:t>Annem</w:t>
      </w:r>
      <w:r w:rsidR="001B728D" w:rsidRPr="0089008C">
        <w:rPr>
          <w:rFonts w:cstheme="minorHAnsi"/>
          <w:sz w:val="24"/>
          <w:szCs w:val="24"/>
        </w:rPr>
        <w:t>ie</w:t>
      </w:r>
      <w:r w:rsidRPr="0089008C">
        <w:rPr>
          <w:rFonts w:cstheme="minorHAnsi"/>
          <w:sz w:val="24"/>
          <w:szCs w:val="24"/>
        </w:rPr>
        <w:t xml:space="preserve">ke van </w:t>
      </w:r>
      <w:proofErr w:type="spellStart"/>
      <w:r w:rsidRPr="0089008C">
        <w:rPr>
          <w:rFonts w:cstheme="minorHAnsi"/>
          <w:sz w:val="24"/>
          <w:szCs w:val="24"/>
        </w:rPr>
        <w:t>Drenth’s</w:t>
      </w:r>
      <w:proofErr w:type="spellEnd"/>
      <w:r w:rsidRPr="0089008C">
        <w:rPr>
          <w:rFonts w:cstheme="minorHAnsi"/>
          <w:sz w:val="24"/>
          <w:szCs w:val="24"/>
        </w:rPr>
        <w:t xml:space="preserve"> </w:t>
      </w:r>
      <w:r w:rsidR="001B728D" w:rsidRPr="0089008C">
        <w:rPr>
          <w:rFonts w:cstheme="minorHAnsi"/>
          <w:sz w:val="24"/>
          <w:szCs w:val="24"/>
        </w:rPr>
        <w:t xml:space="preserve">work on caring power, Mineke van Essen’s on women teachers and the secondary education of girls in the Netherlands and </w:t>
      </w:r>
      <w:r w:rsidR="003B6DC0" w:rsidRPr="0089008C">
        <w:rPr>
          <w:rFonts w:cstheme="minorHAnsi"/>
          <w:sz w:val="24"/>
          <w:szCs w:val="24"/>
        </w:rPr>
        <w:t xml:space="preserve">Tony </w:t>
      </w:r>
      <w:proofErr w:type="spellStart"/>
      <w:r w:rsidR="003B6DC0" w:rsidRPr="0089008C">
        <w:rPr>
          <w:rFonts w:cstheme="minorHAnsi"/>
          <w:sz w:val="24"/>
          <w:szCs w:val="24"/>
        </w:rPr>
        <w:t>Mangan’s</w:t>
      </w:r>
      <w:proofErr w:type="spellEnd"/>
      <w:r w:rsidR="003B6DC0" w:rsidRPr="0089008C">
        <w:rPr>
          <w:rFonts w:cstheme="minorHAnsi"/>
          <w:sz w:val="24"/>
          <w:szCs w:val="24"/>
        </w:rPr>
        <w:t xml:space="preserve"> and Fan Hong’s on Chinese women and emancipation are ones I </w:t>
      </w:r>
      <w:r w:rsidR="001B728D" w:rsidRPr="0089008C">
        <w:rPr>
          <w:rFonts w:cstheme="minorHAnsi"/>
          <w:sz w:val="24"/>
          <w:szCs w:val="24"/>
        </w:rPr>
        <w:t>particularly recall from these years.</w:t>
      </w:r>
    </w:p>
    <w:p w:rsidR="00E37BBA" w:rsidRPr="0089008C" w:rsidRDefault="00E37BBA" w:rsidP="00D42784">
      <w:pPr>
        <w:pStyle w:val="NoSpacing"/>
        <w:spacing w:line="276" w:lineRule="auto"/>
        <w:rPr>
          <w:rFonts w:cstheme="minorHAnsi"/>
          <w:sz w:val="24"/>
          <w:szCs w:val="24"/>
          <w:lang w:val="de-DE"/>
        </w:rPr>
      </w:pPr>
    </w:p>
    <w:p w:rsidR="00A83EBA" w:rsidRPr="0089008C" w:rsidRDefault="00767773" w:rsidP="00D42784">
      <w:pPr>
        <w:rPr>
          <w:rFonts w:cstheme="minorHAnsi"/>
          <w:sz w:val="24"/>
          <w:szCs w:val="24"/>
          <w:lang w:val="de-DE"/>
        </w:rPr>
      </w:pPr>
      <w:r w:rsidRPr="0089008C">
        <w:rPr>
          <w:rFonts w:cstheme="minorHAnsi"/>
          <w:sz w:val="24"/>
          <w:szCs w:val="24"/>
          <w:lang w:val="de-DE"/>
        </w:rPr>
        <w:t>We appeared to be flourishing</w:t>
      </w:r>
      <w:r w:rsidR="00B37747" w:rsidRPr="0089008C">
        <w:rPr>
          <w:rFonts w:cstheme="minorHAnsi"/>
          <w:sz w:val="24"/>
          <w:szCs w:val="24"/>
          <w:lang w:val="de-DE"/>
        </w:rPr>
        <w:t xml:space="preserve">, indeed, </w:t>
      </w:r>
      <w:r w:rsidRPr="0089008C">
        <w:rPr>
          <w:rFonts w:cstheme="minorHAnsi"/>
          <w:sz w:val="24"/>
          <w:szCs w:val="24"/>
          <w:lang w:val="de-DE"/>
        </w:rPr>
        <w:t xml:space="preserve">but as a group we were increasingly wishing to be integrated into the ISCHE conferences, rather than </w:t>
      </w:r>
      <w:r w:rsidR="007A4DA1" w:rsidRPr="0089008C">
        <w:rPr>
          <w:rFonts w:cstheme="minorHAnsi"/>
          <w:sz w:val="24"/>
          <w:szCs w:val="24"/>
          <w:lang w:val="de-DE"/>
        </w:rPr>
        <w:t xml:space="preserve">remain </w:t>
      </w:r>
      <w:r w:rsidRPr="0089008C">
        <w:rPr>
          <w:rFonts w:cstheme="minorHAnsi"/>
          <w:sz w:val="24"/>
          <w:szCs w:val="24"/>
          <w:lang w:val="de-DE"/>
        </w:rPr>
        <w:t xml:space="preserve">on the </w:t>
      </w:r>
      <w:r w:rsidR="007A4DA1" w:rsidRPr="0089008C">
        <w:rPr>
          <w:rFonts w:cstheme="minorHAnsi"/>
          <w:sz w:val="24"/>
          <w:szCs w:val="24"/>
          <w:lang w:val="de-DE"/>
        </w:rPr>
        <w:t>periphery</w:t>
      </w:r>
      <w:r w:rsidR="00564DA7" w:rsidRPr="0089008C">
        <w:rPr>
          <w:rFonts w:cstheme="minorHAnsi"/>
          <w:sz w:val="24"/>
          <w:szCs w:val="24"/>
          <w:lang w:val="de-DE"/>
        </w:rPr>
        <w:t xml:space="preserve">. </w:t>
      </w:r>
      <w:r w:rsidR="009623F1" w:rsidRPr="0089008C">
        <w:rPr>
          <w:rFonts w:cstheme="minorHAnsi"/>
          <w:sz w:val="24"/>
          <w:szCs w:val="24"/>
          <w:lang w:val="de-DE"/>
        </w:rPr>
        <w:t>Part of my platform when I was elected onto the excutive in 1997 a</w:t>
      </w:r>
      <w:r w:rsidR="00675BF9">
        <w:rPr>
          <w:rFonts w:cstheme="minorHAnsi"/>
          <w:sz w:val="24"/>
          <w:szCs w:val="24"/>
          <w:lang w:val="de-DE"/>
        </w:rPr>
        <w:t>t the conference in Dublin</w:t>
      </w:r>
      <w:r w:rsidR="00564DA7" w:rsidRPr="0089008C">
        <w:rPr>
          <w:rFonts w:cstheme="minorHAnsi"/>
          <w:sz w:val="24"/>
          <w:szCs w:val="24"/>
          <w:lang w:val="de-DE"/>
        </w:rPr>
        <w:t xml:space="preserve"> </w:t>
      </w:r>
      <w:r w:rsidR="009623F1" w:rsidRPr="0089008C">
        <w:rPr>
          <w:rFonts w:cstheme="minorHAnsi"/>
          <w:sz w:val="24"/>
          <w:szCs w:val="24"/>
          <w:lang w:val="de-DE"/>
        </w:rPr>
        <w:t>was to</w:t>
      </w:r>
      <w:r w:rsidR="007A4DA1" w:rsidRPr="0089008C">
        <w:rPr>
          <w:rFonts w:cstheme="minorHAnsi"/>
          <w:sz w:val="24"/>
          <w:szCs w:val="24"/>
          <w:lang w:val="de-DE"/>
        </w:rPr>
        <w:t xml:space="preserve"> have our sessions on the main </w:t>
      </w:r>
      <w:r w:rsidR="009623F1" w:rsidRPr="0089008C">
        <w:rPr>
          <w:rFonts w:cstheme="minorHAnsi"/>
          <w:sz w:val="24"/>
          <w:szCs w:val="24"/>
          <w:lang w:val="de-DE"/>
        </w:rPr>
        <w:t>p</w:t>
      </w:r>
      <w:r w:rsidR="007A4DA1" w:rsidRPr="0089008C">
        <w:rPr>
          <w:rFonts w:cstheme="minorHAnsi"/>
          <w:sz w:val="24"/>
          <w:szCs w:val="24"/>
          <w:lang w:val="de-DE"/>
        </w:rPr>
        <w:t>r</w:t>
      </w:r>
      <w:r w:rsidR="009623F1" w:rsidRPr="0089008C">
        <w:rPr>
          <w:rFonts w:cstheme="minorHAnsi"/>
          <w:sz w:val="24"/>
          <w:szCs w:val="24"/>
          <w:lang w:val="de-DE"/>
        </w:rPr>
        <w:t xml:space="preserve">ogramme. In that year </w:t>
      </w:r>
      <w:r w:rsidR="00564DA7" w:rsidRPr="0089008C">
        <w:rPr>
          <w:rFonts w:cstheme="minorHAnsi"/>
          <w:sz w:val="24"/>
          <w:szCs w:val="24"/>
          <w:lang w:val="de-DE"/>
        </w:rPr>
        <w:t xml:space="preserve">we </w:t>
      </w:r>
      <w:r w:rsidR="009623F1" w:rsidRPr="0089008C">
        <w:rPr>
          <w:rFonts w:cstheme="minorHAnsi"/>
          <w:sz w:val="24"/>
          <w:szCs w:val="24"/>
          <w:lang w:val="de-DE"/>
        </w:rPr>
        <w:t xml:space="preserve">had </w:t>
      </w:r>
      <w:r w:rsidR="00564DA7" w:rsidRPr="0089008C">
        <w:rPr>
          <w:rFonts w:cstheme="minorHAnsi"/>
          <w:sz w:val="24"/>
          <w:szCs w:val="24"/>
          <w:lang w:val="de-DE"/>
        </w:rPr>
        <w:t>a successful Gender meeting on the open</w:t>
      </w:r>
      <w:r w:rsidR="009623F1" w:rsidRPr="0089008C">
        <w:rPr>
          <w:rFonts w:cstheme="minorHAnsi"/>
          <w:sz w:val="24"/>
          <w:szCs w:val="24"/>
          <w:lang w:val="de-DE"/>
        </w:rPr>
        <w:t>i</w:t>
      </w:r>
      <w:r w:rsidR="00564DA7" w:rsidRPr="0089008C">
        <w:rPr>
          <w:rFonts w:cstheme="minorHAnsi"/>
          <w:sz w:val="24"/>
          <w:szCs w:val="24"/>
          <w:lang w:val="de-DE"/>
        </w:rPr>
        <w:t>ng day before the conference started properly</w:t>
      </w:r>
      <w:r w:rsidR="009623F1" w:rsidRPr="0089008C">
        <w:rPr>
          <w:rFonts w:cstheme="minorHAnsi"/>
          <w:sz w:val="24"/>
          <w:szCs w:val="24"/>
          <w:lang w:val="de-DE"/>
        </w:rPr>
        <w:t xml:space="preserve"> </w:t>
      </w:r>
      <w:r w:rsidR="009623F1" w:rsidRPr="0089008C">
        <w:rPr>
          <w:rFonts w:cstheme="minorHAnsi"/>
          <w:color w:val="FF0000"/>
          <w:sz w:val="24"/>
          <w:szCs w:val="24"/>
          <w:lang w:val="de-DE"/>
        </w:rPr>
        <w:t>[PPT</w:t>
      </w:r>
      <w:r w:rsidR="00E47ADA">
        <w:rPr>
          <w:rFonts w:cstheme="minorHAnsi"/>
          <w:color w:val="FF0000"/>
          <w:sz w:val="24"/>
          <w:szCs w:val="24"/>
          <w:lang w:val="de-DE"/>
        </w:rPr>
        <w:t>8</w:t>
      </w:r>
      <w:r w:rsidR="009623F1" w:rsidRPr="0089008C">
        <w:rPr>
          <w:rFonts w:cstheme="minorHAnsi"/>
          <w:color w:val="FF0000"/>
          <w:sz w:val="24"/>
          <w:szCs w:val="24"/>
          <w:lang w:val="de-DE"/>
        </w:rPr>
        <w:t xml:space="preserve"> Dublin SWG]</w:t>
      </w:r>
      <w:r w:rsidR="009623F1" w:rsidRPr="0089008C">
        <w:rPr>
          <w:rFonts w:cstheme="minorHAnsi"/>
          <w:sz w:val="24"/>
          <w:szCs w:val="24"/>
          <w:lang w:val="de-DE"/>
        </w:rPr>
        <w:t xml:space="preserve"> but </w:t>
      </w:r>
      <w:r w:rsidR="009623F1" w:rsidRPr="0089008C">
        <w:rPr>
          <w:rFonts w:cstheme="minorHAnsi"/>
          <w:sz w:val="24"/>
          <w:szCs w:val="24"/>
          <w:lang w:val="de-DE"/>
        </w:rPr>
        <w:lastRenderedPageBreak/>
        <w:t>thereafter we met within the conference</w:t>
      </w:r>
      <w:r w:rsidR="0024268D" w:rsidRPr="0089008C">
        <w:rPr>
          <w:rFonts w:cstheme="minorHAnsi"/>
          <w:sz w:val="24"/>
          <w:szCs w:val="24"/>
          <w:lang w:val="de-DE"/>
        </w:rPr>
        <w:t>, having several gender sessions on different days,</w:t>
      </w:r>
      <w:r w:rsidR="009623F1" w:rsidRPr="0089008C">
        <w:rPr>
          <w:rFonts w:cstheme="minorHAnsi"/>
          <w:sz w:val="24"/>
          <w:szCs w:val="24"/>
          <w:lang w:val="de-DE"/>
        </w:rPr>
        <w:t xml:space="preserve"> as can be seen fro</w:t>
      </w:r>
      <w:r w:rsidR="008F6144">
        <w:rPr>
          <w:rFonts w:cstheme="minorHAnsi"/>
          <w:sz w:val="24"/>
          <w:szCs w:val="24"/>
          <w:lang w:val="de-DE"/>
        </w:rPr>
        <w:t>m the Leuven programme of 1998</w:t>
      </w:r>
      <w:r w:rsidR="009623F1" w:rsidRPr="0089008C">
        <w:rPr>
          <w:rFonts w:cstheme="minorHAnsi"/>
          <w:sz w:val="24"/>
          <w:szCs w:val="24"/>
          <w:lang w:val="de-DE"/>
        </w:rPr>
        <w:t>.</w:t>
      </w:r>
      <w:r w:rsidR="001E51A7" w:rsidRPr="0089008C">
        <w:rPr>
          <w:rFonts w:cstheme="minorHAnsi"/>
          <w:sz w:val="24"/>
          <w:szCs w:val="24"/>
          <w:lang w:val="de-DE"/>
        </w:rPr>
        <w:t xml:space="preserve"> </w:t>
      </w:r>
      <w:r w:rsidR="001E51A7" w:rsidRPr="0089008C">
        <w:rPr>
          <w:rFonts w:cstheme="minorHAnsi"/>
          <w:color w:val="FF0000"/>
          <w:sz w:val="24"/>
          <w:szCs w:val="24"/>
          <w:lang w:val="de-DE"/>
        </w:rPr>
        <w:t>[PPT</w:t>
      </w:r>
      <w:r w:rsidR="00E47ADA">
        <w:rPr>
          <w:rFonts w:cstheme="minorHAnsi"/>
          <w:color w:val="FF0000"/>
          <w:sz w:val="24"/>
          <w:szCs w:val="24"/>
          <w:lang w:val="de-DE"/>
        </w:rPr>
        <w:t>9</w:t>
      </w:r>
      <w:r w:rsidR="001E51A7" w:rsidRPr="0089008C">
        <w:rPr>
          <w:rFonts w:cstheme="minorHAnsi"/>
          <w:color w:val="FF0000"/>
          <w:sz w:val="24"/>
          <w:szCs w:val="24"/>
          <w:lang w:val="de-DE"/>
        </w:rPr>
        <w:t xml:space="preserve"> Leuven SWG] </w:t>
      </w:r>
      <w:r w:rsidR="001E51A7" w:rsidRPr="0089008C">
        <w:rPr>
          <w:rFonts w:cstheme="minorHAnsi"/>
          <w:sz w:val="24"/>
          <w:szCs w:val="24"/>
          <w:lang w:val="de-DE"/>
        </w:rPr>
        <w:t>This was true too in Sydney, Australia in 1999</w:t>
      </w:r>
      <w:r w:rsidR="008F6144">
        <w:rPr>
          <w:rFonts w:cstheme="minorHAnsi"/>
          <w:sz w:val="24"/>
          <w:szCs w:val="24"/>
          <w:lang w:val="de-DE"/>
        </w:rPr>
        <w:t xml:space="preserve"> </w:t>
      </w:r>
      <w:r w:rsidR="001E51A7" w:rsidRPr="0089008C">
        <w:rPr>
          <w:rFonts w:cstheme="minorHAnsi"/>
          <w:color w:val="FF0000"/>
          <w:sz w:val="24"/>
          <w:szCs w:val="24"/>
          <w:lang w:val="de-DE"/>
        </w:rPr>
        <w:t>[PPT</w:t>
      </w:r>
      <w:r w:rsidR="00E47ADA">
        <w:rPr>
          <w:rFonts w:cstheme="minorHAnsi"/>
          <w:color w:val="FF0000"/>
          <w:sz w:val="24"/>
          <w:szCs w:val="24"/>
          <w:lang w:val="de-DE"/>
        </w:rPr>
        <w:t>10</w:t>
      </w:r>
      <w:r w:rsidR="001E51A7" w:rsidRPr="0089008C">
        <w:rPr>
          <w:rFonts w:cstheme="minorHAnsi"/>
          <w:color w:val="FF0000"/>
          <w:sz w:val="24"/>
          <w:szCs w:val="24"/>
          <w:lang w:val="de-DE"/>
        </w:rPr>
        <w:t xml:space="preserve"> Sydney SWG] </w:t>
      </w:r>
      <w:r w:rsidR="009C3154" w:rsidRPr="0089008C">
        <w:rPr>
          <w:rFonts w:cstheme="minorHAnsi"/>
          <w:sz w:val="24"/>
          <w:szCs w:val="24"/>
          <w:lang w:val="de-DE"/>
        </w:rPr>
        <w:t>where many of the group spoke in the various sessions on</w:t>
      </w:r>
      <w:r w:rsidR="001E51A7" w:rsidRPr="0089008C">
        <w:rPr>
          <w:rFonts w:cstheme="minorHAnsi"/>
          <w:sz w:val="24"/>
          <w:szCs w:val="24"/>
          <w:lang w:val="de-DE"/>
        </w:rPr>
        <w:t xml:space="preserve"> gender and  class </w:t>
      </w:r>
      <w:r w:rsidR="009C3154" w:rsidRPr="0089008C">
        <w:rPr>
          <w:rFonts w:cstheme="minorHAnsi"/>
          <w:sz w:val="24"/>
          <w:szCs w:val="24"/>
          <w:lang w:val="de-DE"/>
        </w:rPr>
        <w:t>(</w:t>
      </w:r>
      <w:r w:rsidR="00786BCB">
        <w:rPr>
          <w:rFonts w:cstheme="minorHAnsi"/>
          <w:sz w:val="24"/>
          <w:szCs w:val="24"/>
          <w:lang w:val="de-DE"/>
        </w:rPr>
        <w:t xml:space="preserve">N.B. </w:t>
      </w:r>
      <w:r w:rsidR="001E51A7" w:rsidRPr="0089008C">
        <w:rPr>
          <w:rFonts w:cstheme="minorHAnsi"/>
          <w:sz w:val="24"/>
          <w:szCs w:val="24"/>
          <w:lang w:val="de-DE"/>
        </w:rPr>
        <w:t xml:space="preserve">6 of the papers </w:t>
      </w:r>
      <w:r w:rsidR="009C3154" w:rsidRPr="0089008C">
        <w:rPr>
          <w:rFonts w:cstheme="minorHAnsi"/>
          <w:sz w:val="24"/>
          <w:szCs w:val="24"/>
          <w:lang w:val="de-DE"/>
        </w:rPr>
        <w:t>und</w:t>
      </w:r>
      <w:r w:rsidR="00C63CC1" w:rsidRPr="0089008C">
        <w:rPr>
          <w:rFonts w:cstheme="minorHAnsi"/>
          <w:sz w:val="24"/>
          <w:szCs w:val="24"/>
          <w:lang w:val="de-DE"/>
        </w:rPr>
        <w:t>e</w:t>
      </w:r>
      <w:r w:rsidR="009C3154" w:rsidRPr="0089008C">
        <w:rPr>
          <w:rFonts w:cstheme="minorHAnsi"/>
          <w:sz w:val="24"/>
          <w:szCs w:val="24"/>
          <w:lang w:val="de-DE"/>
        </w:rPr>
        <w:t xml:space="preserve">r this heading </w:t>
      </w:r>
      <w:r w:rsidR="001E51A7" w:rsidRPr="0089008C">
        <w:rPr>
          <w:rFonts w:cstheme="minorHAnsi"/>
          <w:sz w:val="24"/>
          <w:szCs w:val="24"/>
          <w:lang w:val="de-DE"/>
        </w:rPr>
        <w:t>were not on gender</w:t>
      </w:r>
      <w:r w:rsidR="009C3154" w:rsidRPr="0089008C">
        <w:rPr>
          <w:rFonts w:cstheme="minorHAnsi"/>
          <w:sz w:val="24"/>
          <w:szCs w:val="24"/>
          <w:lang w:val="de-DE"/>
        </w:rPr>
        <w:t>)</w:t>
      </w:r>
      <w:r w:rsidR="001E51A7" w:rsidRPr="0089008C">
        <w:rPr>
          <w:rFonts w:cstheme="minorHAnsi"/>
          <w:sz w:val="24"/>
          <w:szCs w:val="24"/>
          <w:lang w:val="de-DE"/>
        </w:rPr>
        <w:t xml:space="preserve">, while </w:t>
      </w:r>
      <w:r w:rsidR="009C3154" w:rsidRPr="0089008C">
        <w:rPr>
          <w:rFonts w:cstheme="minorHAnsi"/>
          <w:sz w:val="24"/>
          <w:szCs w:val="24"/>
          <w:lang w:val="de-DE"/>
        </w:rPr>
        <w:t>others sp</w:t>
      </w:r>
      <w:r w:rsidR="001E51A7" w:rsidRPr="0089008C">
        <w:rPr>
          <w:rFonts w:cstheme="minorHAnsi"/>
          <w:sz w:val="24"/>
          <w:szCs w:val="24"/>
          <w:lang w:val="de-DE"/>
        </w:rPr>
        <w:t>oke under other headings, for exa</w:t>
      </w:r>
      <w:r w:rsidR="009C3154" w:rsidRPr="0089008C">
        <w:rPr>
          <w:rFonts w:cstheme="minorHAnsi"/>
          <w:sz w:val="24"/>
          <w:szCs w:val="24"/>
          <w:lang w:val="de-DE"/>
        </w:rPr>
        <w:t>m</w:t>
      </w:r>
      <w:r w:rsidR="001E51A7" w:rsidRPr="0089008C">
        <w:rPr>
          <w:rFonts w:cstheme="minorHAnsi"/>
          <w:sz w:val="24"/>
          <w:szCs w:val="24"/>
          <w:lang w:val="de-DE"/>
        </w:rPr>
        <w:t xml:space="preserve">ple </w:t>
      </w:r>
      <w:r w:rsidR="007A4DA1" w:rsidRPr="0089008C">
        <w:rPr>
          <w:rFonts w:cstheme="minorHAnsi"/>
          <w:sz w:val="24"/>
          <w:szCs w:val="24"/>
          <w:lang w:val="de-DE"/>
        </w:rPr>
        <w:t>my paper came</w:t>
      </w:r>
      <w:r w:rsidR="001E51A7" w:rsidRPr="0089008C">
        <w:rPr>
          <w:rFonts w:cstheme="minorHAnsi"/>
          <w:sz w:val="24"/>
          <w:szCs w:val="24"/>
          <w:lang w:val="de-DE"/>
        </w:rPr>
        <w:t xml:space="preserve"> </w:t>
      </w:r>
      <w:r w:rsidR="00B92008" w:rsidRPr="0089008C">
        <w:rPr>
          <w:rFonts w:cstheme="minorHAnsi"/>
          <w:sz w:val="24"/>
          <w:szCs w:val="24"/>
          <w:lang w:val="de-DE"/>
        </w:rPr>
        <w:t>under colonialism.</w:t>
      </w:r>
      <w:r w:rsidR="009C3154" w:rsidRPr="0089008C">
        <w:rPr>
          <w:rFonts w:cstheme="minorHAnsi"/>
          <w:sz w:val="24"/>
          <w:szCs w:val="24"/>
          <w:lang w:val="de-DE"/>
        </w:rPr>
        <w:t xml:space="preserve"> </w:t>
      </w:r>
      <w:r w:rsidR="00786BCB">
        <w:rPr>
          <w:rFonts w:cstheme="minorHAnsi"/>
          <w:sz w:val="24"/>
          <w:szCs w:val="24"/>
          <w:lang w:val="de-DE"/>
        </w:rPr>
        <w:t xml:space="preserve">Generally </w:t>
      </w:r>
      <w:r w:rsidR="00786BCB" w:rsidRPr="0089008C">
        <w:rPr>
          <w:rFonts w:cstheme="minorHAnsi"/>
          <w:sz w:val="24"/>
          <w:szCs w:val="24"/>
        </w:rPr>
        <w:t>this conference much illustrated how issues of gender and ethnicity interrelate</w:t>
      </w:r>
      <w:r w:rsidR="00786BCB">
        <w:rPr>
          <w:rFonts w:cstheme="minorHAnsi"/>
          <w:sz w:val="24"/>
          <w:szCs w:val="24"/>
        </w:rPr>
        <w:t>.</w:t>
      </w:r>
      <w:r w:rsidR="00786BCB" w:rsidRPr="0089008C">
        <w:rPr>
          <w:rFonts w:cstheme="minorHAnsi"/>
          <w:sz w:val="24"/>
          <w:szCs w:val="24"/>
          <w:lang w:val="de-DE"/>
        </w:rPr>
        <w:t xml:space="preserve"> </w:t>
      </w:r>
      <w:r w:rsidR="009C3154" w:rsidRPr="0089008C">
        <w:rPr>
          <w:rFonts w:cstheme="minorHAnsi"/>
          <w:sz w:val="24"/>
          <w:szCs w:val="24"/>
          <w:lang w:val="de-DE"/>
        </w:rPr>
        <w:t xml:space="preserve">Some of us also stayed on for the ANZHES conference </w:t>
      </w:r>
      <w:r w:rsidR="00C63CC1" w:rsidRPr="0089008C">
        <w:rPr>
          <w:rFonts w:cstheme="minorHAnsi"/>
          <w:sz w:val="24"/>
          <w:szCs w:val="24"/>
          <w:lang w:val="de-DE"/>
        </w:rPr>
        <w:t>where Kay Morris Matthews, Joyce Goodman, Majorie Theobald and myself had a panel</w:t>
      </w:r>
      <w:r w:rsidR="007A4DA1" w:rsidRPr="0089008C">
        <w:rPr>
          <w:rFonts w:cstheme="minorHAnsi"/>
          <w:sz w:val="24"/>
          <w:szCs w:val="24"/>
          <w:lang w:val="de-DE"/>
        </w:rPr>
        <w:t xml:space="preserve"> discussion on  the </w:t>
      </w:r>
      <w:r w:rsidR="007A4DA1" w:rsidRPr="0089008C">
        <w:rPr>
          <w:rFonts w:cstheme="minorHAnsi"/>
          <w:i/>
          <w:sz w:val="24"/>
          <w:szCs w:val="24"/>
          <w:lang w:val="de-DE"/>
        </w:rPr>
        <w:t>History of Women’s Education and Gender in E</w:t>
      </w:r>
      <w:r w:rsidR="00C63CC1" w:rsidRPr="0089008C">
        <w:rPr>
          <w:rFonts w:cstheme="minorHAnsi"/>
          <w:i/>
          <w:sz w:val="24"/>
          <w:szCs w:val="24"/>
          <w:lang w:val="de-DE"/>
        </w:rPr>
        <w:t>ducation</w:t>
      </w:r>
      <w:r w:rsidR="00C63CC1" w:rsidRPr="0089008C">
        <w:rPr>
          <w:rFonts w:cstheme="minorHAnsi"/>
          <w:sz w:val="24"/>
          <w:szCs w:val="24"/>
          <w:lang w:val="de-DE"/>
        </w:rPr>
        <w:t xml:space="preserve"> and five of the other 18 papers were on gender topics.</w:t>
      </w:r>
      <w:r w:rsidR="00675BF9">
        <w:rPr>
          <w:rStyle w:val="FootnoteReference"/>
          <w:rFonts w:cstheme="minorHAnsi"/>
          <w:sz w:val="24"/>
          <w:szCs w:val="24"/>
          <w:lang w:val="de-DE"/>
        </w:rPr>
        <w:footnoteReference w:id="4"/>
      </w:r>
    </w:p>
    <w:p w:rsidR="00B37747" w:rsidRPr="0089008C" w:rsidRDefault="00C63CC1" w:rsidP="00D42784">
      <w:pPr>
        <w:pStyle w:val="NoSpacing"/>
        <w:spacing w:line="276" w:lineRule="auto"/>
        <w:rPr>
          <w:rFonts w:cstheme="minorHAnsi"/>
          <w:sz w:val="24"/>
          <w:szCs w:val="24"/>
          <w:lang w:val="de-DE"/>
        </w:rPr>
      </w:pPr>
      <w:r w:rsidRPr="0089008C">
        <w:rPr>
          <w:rFonts w:cstheme="minorHAnsi"/>
          <w:sz w:val="24"/>
          <w:szCs w:val="24"/>
          <w:lang w:val="de-DE"/>
        </w:rPr>
        <w:t>We continued in this way for a number of years</w:t>
      </w:r>
      <w:r w:rsidR="0076652B" w:rsidRPr="0089008C">
        <w:rPr>
          <w:rFonts w:cstheme="minorHAnsi"/>
          <w:sz w:val="24"/>
          <w:szCs w:val="24"/>
          <w:lang w:val="de-DE"/>
        </w:rPr>
        <w:t xml:space="preserve"> – at Alcala in </w:t>
      </w:r>
      <w:r w:rsidR="007A4DA1" w:rsidRPr="0089008C">
        <w:rPr>
          <w:rFonts w:cstheme="minorHAnsi"/>
          <w:sz w:val="24"/>
          <w:szCs w:val="24"/>
          <w:lang w:val="de-DE"/>
        </w:rPr>
        <w:t>2000</w:t>
      </w:r>
      <w:r w:rsidR="0076652B" w:rsidRPr="0089008C">
        <w:rPr>
          <w:rFonts w:cstheme="minorHAnsi"/>
          <w:sz w:val="24"/>
          <w:szCs w:val="24"/>
          <w:lang w:val="de-DE"/>
        </w:rPr>
        <w:t>, Birmingham 2001, Paris 2002, Brazil 2003</w:t>
      </w:r>
      <w:r w:rsidR="0045531D">
        <w:rPr>
          <w:rFonts w:cstheme="minorHAnsi"/>
          <w:sz w:val="24"/>
          <w:szCs w:val="24"/>
          <w:lang w:val="de-DE"/>
        </w:rPr>
        <w:t>, Geneva 2004</w:t>
      </w:r>
      <w:r w:rsidR="0076652B" w:rsidRPr="0089008C">
        <w:rPr>
          <w:rFonts w:cstheme="minorHAnsi"/>
          <w:sz w:val="24"/>
          <w:szCs w:val="24"/>
          <w:lang w:val="de-DE"/>
        </w:rPr>
        <w:t>.At each conference there were both gender sessions and gender papers in other sessions</w:t>
      </w:r>
      <w:r w:rsidR="00190972" w:rsidRPr="0089008C">
        <w:rPr>
          <w:rFonts w:cstheme="minorHAnsi"/>
          <w:sz w:val="24"/>
          <w:szCs w:val="24"/>
          <w:lang w:val="de-DE"/>
        </w:rPr>
        <w:t xml:space="preserve">, while the SWG met for an hour at some point to discuss progress. </w:t>
      </w:r>
      <w:r w:rsidR="0076652B" w:rsidRPr="0089008C">
        <w:rPr>
          <w:rFonts w:cstheme="minorHAnsi"/>
          <w:sz w:val="24"/>
          <w:szCs w:val="24"/>
          <w:lang w:val="de-DE"/>
        </w:rPr>
        <w:t xml:space="preserve"> </w:t>
      </w:r>
      <w:r w:rsidR="00FE0F05" w:rsidRPr="0089008C">
        <w:rPr>
          <w:rFonts w:cstheme="minorHAnsi"/>
          <w:sz w:val="24"/>
          <w:szCs w:val="24"/>
          <w:lang w:val="de-DE"/>
        </w:rPr>
        <w:t>In these years , James Albisetti, Nelleke Bakker, Consuelo Flecha Garcia,  Joyce Goodman, Christine Mayer, Elizabeth Smyth</w:t>
      </w:r>
      <w:r w:rsidR="0070158B" w:rsidRPr="0089008C">
        <w:rPr>
          <w:rFonts w:cstheme="minorHAnsi"/>
          <w:sz w:val="24"/>
          <w:szCs w:val="24"/>
          <w:lang w:val="de-DE"/>
        </w:rPr>
        <w:t xml:space="preserve"> and Kay Whitehead were among the regular contributors.</w:t>
      </w:r>
      <w:r w:rsidR="00675BF9">
        <w:rPr>
          <w:rStyle w:val="FootnoteReference"/>
          <w:rFonts w:cstheme="minorHAnsi"/>
          <w:sz w:val="24"/>
          <w:szCs w:val="24"/>
          <w:lang w:val="de-DE"/>
        </w:rPr>
        <w:footnoteReference w:id="5"/>
      </w:r>
      <w:r w:rsidR="0070158B" w:rsidRPr="0089008C">
        <w:rPr>
          <w:rFonts w:cstheme="minorHAnsi"/>
          <w:sz w:val="24"/>
          <w:szCs w:val="24"/>
          <w:lang w:val="de-DE"/>
        </w:rPr>
        <w:t xml:space="preserve"> </w:t>
      </w:r>
      <w:r w:rsidR="00CA60B5" w:rsidRPr="0089008C">
        <w:rPr>
          <w:rFonts w:cstheme="minorHAnsi"/>
          <w:sz w:val="24"/>
          <w:szCs w:val="24"/>
          <w:lang w:val="de-DE"/>
        </w:rPr>
        <w:t>At</w:t>
      </w:r>
      <w:r w:rsidR="0076652B" w:rsidRPr="0089008C">
        <w:rPr>
          <w:rFonts w:cstheme="minorHAnsi"/>
          <w:sz w:val="24"/>
          <w:szCs w:val="24"/>
          <w:lang w:val="de-DE"/>
        </w:rPr>
        <w:t xml:space="preserve"> </w:t>
      </w:r>
      <w:r w:rsidR="00190972" w:rsidRPr="0089008C">
        <w:rPr>
          <w:rFonts w:cstheme="minorHAnsi"/>
          <w:sz w:val="24"/>
          <w:szCs w:val="24"/>
          <w:lang w:val="de-DE"/>
        </w:rPr>
        <w:t xml:space="preserve">Paris </w:t>
      </w:r>
      <w:r w:rsidR="00CA60B5" w:rsidRPr="0089008C">
        <w:rPr>
          <w:rFonts w:cstheme="minorHAnsi"/>
          <w:sz w:val="24"/>
          <w:szCs w:val="24"/>
          <w:lang w:val="de-DE"/>
        </w:rPr>
        <w:t>not only was there Simonetta Soldani’s keynote on the secondary education of girls in unified Italy</w:t>
      </w:r>
      <w:r w:rsidR="00C63E0B">
        <w:rPr>
          <w:rStyle w:val="FootnoteReference"/>
          <w:rFonts w:cstheme="minorHAnsi"/>
          <w:sz w:val="24"/>
          <w:szCs w:val="24"/>
          <w:lang w:val="de-DE"/>
        </w:rPr>
        <w:footnoteReference w:id="6"/>
      </w:r>
      <w:r w:rsidR="00CA60B5" w:rsidRPr="0089008C">
        <w:rPr>
          <w:rFonts w:cstheme="minorHAnsi"/>
          <w:sz w:val="24"/>
          <w:szCs w:val="24"/>
          <w:lang w:val="de-DE"/>
        </w:rPr>
        <w:t xml:space="preserve"> but </w:t>
      </w:r>
      <w:r w:rsidR="00CA60B5" w:rsidRPr="0089008C">
        <w:rPr>
          <w:rFonts w:cstheme="minorHAnsi"/>
          <w:color w:val="FF0000"/>
          <w:sz w:val="24"/>
          <w:szCs w:val="24"/>
          <w:lang w:val="de-DE"/>
        </w:rPr>
        <w:t>[PPT</w:t>
      </w:r>
      <w:r w:rsidR="00E47ADA">
        <w:rPr>
          <w:rFonts w:cstheme="minorHAnsi"/>
          <w:color w:val="FF0000"/>
          <w:sz w:val="24"/>
          <w:szCs w:val="24"/>
          <w:lang w:val="de-DE"/>
        </w:rPr>
        <w:t>11</w:t>
      </w:r>
      <w:r w:rsidR="00CA60B5" w:rsidRPr="0089008C">
        <w:rPr>
          <w:rFonts w:cstheme="minorHAnsi"/>
          <w:color w:val="FF0000"/>
          <w:sz w:val="24"/>
          <w:szCs w:val="24"/>
          <w:lang w:val="de-DE"/>
        </w:rPr>
        <w:t xml:space="preserve"> Paris book]</w:t>
      </w:r>
      <w:r w:rsidR="00CA60B5" w:rsidRPr="0089008C">
        <w:rPr>
          <w:rFonts w:cstheme="minorHAnsi"/>
          <w:sz w:val="24"/>
          <w:szCs w:val="24"/>
          <w:lang w:val="de-DE"/>
        </w:rPr>
        <w:t xml:space="preserve"> a plethora</w:t>
      </w:r>
      <w:r w:rsidR="00190972" w:rsidRPr="0089008C">
        <w:rPr>
          <w:rFonts w:cstheme="minorHAnsi"/>
          <w:sz w:val="24"/>
          <w:szCs w:val="24"/>
          <w:lang w:val="de-DE"/>
        </w:rPr>
        <w:t xml:space="preserve"> </w:t>
      </w:r>
      <w:r w:rsidR="00CA60B5" w:rsidRPr="0089008C">
        <w:rPr>
          <w:rFonts w:cstheme="minorHAnsi"/>
          <w:sz w:val="24"/>
          <w:szCs w:val="24"/>
          <w:lang w:val="de-DE"/>
        </w:rPr>
        <w:t>of papers on women teachers led to a publication of 6 of the 15 papers on gender, edited by Rebecca Rogers and Mineke van Essen and published by the Institut National de Recherche Pédagogique, a first for them on gender and educational history as Rebecca proudly claimed.</w:t>
      </w:r>
      <w:r w:rsidR="00863700">
        <w:rPr>
          <w:rStyle w:val="FootnoteReference"/>
          <w:rFonts w:cstheme="minorHAnsi"/>
          <w:sz w:val="24"/>
          <w:szCs w:val="24"/>
          <w:lang w:val="de-DE"/>
        </w:rPr>
        <w:footnoteReference w:id="7"/>
      </w:r>
      <w:r w:rsidR="00CA60B5" w:rsidRPr="0089008C">
        <w:rPr>
          <w:rFonts w:cstheme="minorHAnsi"/>
          <w:sz w:val="24"/>
          <w:szCs w:val="24"/>
          <w:lang w:val="de-DE"/>
        </w:rPr>
        <w:t xml:space="preserve"> </w:t>
      </w:r>
      <w:r w:rsidR="007A4DA1" w:rsidRPr="0089008C">
        <w:rPr>
          <w:rFonts w:cstheme="minorHAnsi"/>
          <w:sz w:val="24"/>
          <w:szCs w:val="24"/>
          <w:lang w:val="de-DE"/>
        </w:rPr>
        <w:t>There had been previous keynote</w:t>
      </w:r>
      <w:r w:rsidR="00CA60B5" w:rsidRPr="0089008C">
        <w:rPr>
          <w:rFonts w:cstheme="minorHAnsi"/>
          <w:sz w:val="24"/>
          <w:szCs w:val="24"/>
          <w:lang w:val="de-DE"/>
        </w:rPr>
        <w:t>s on women’s history and gender – Majorie Theobald</w:t>
      </w:r>
      <w:r w:rsidR="007A4DA1" w:rsidRPr="0089008C">
        <w:rPr>
          <w:rFonts w:cstheme="minorHAnsi"/>
          <w:sz w:val="24"/>
          <w:szCs w:val="24"/>
          <w:lang w:val="de-DE"/>
        </w:rPr>
        <w:t xml:space="preserve"> </w:t>
      </w:r>
      <w:r w:rsidR="00CA60B5" w:rsidRPr="0089008C">
        <w:rPr>
          <w:rFonts w:cstheme="minorHAnsi"/>
          <w:sz w:val="24"/>
          <w:szCs w:val="24"/>
          <w:lang w:val="de-DE"/>
        </w:rPr>
        <w:t xml:space="preserve"> in Sydney, Kate Rousmaniere</w:t>
      </w:r>
      <w:r w:rsidR="00D86387" w:rsidRPr="0089008C">
        <w:rPr>
          <w:rFonts w:cstheme="minorHAnsi"/>
          <w:sz w:val="24"/>
          <w:szCs w:val="24"/>
          <w:lang w:val="de-DE"/>
        </w:rPr>
        <w:t xml:space="preserve"> </w:t>
      </w:r>
      <w:r w:rsidR="00CA60B5" w:rsidRPr="0089008C">
        <w:rPr>
          <w:rFonts w:cstheme="minorHAnsi"/>
          <w:sz w:val="24"/>
          <w:szCs w:val="24"/>
          <w:lang w:val="de-DE"/>
        </w:rPr>
        <w:t xml:space="preserve"> and Carolyn Steedman</w:t>
      </w:r>
      <w:r w:rsidR="0045531D">
        <w:rPr>
          <w:rFonts w:cstheme="minorHAnsi"/>
          <w:sz w:val="24"/>
          <w:szCs w:val="24"/>
          <w:lang w:val="de-DE"/>
        </w:rPr>
        <w:t xml:space="preserve"> [</w:t>
      </w:r>
      <w:r w:rsidR="00D86387" w:rsidRPr="0089008C">
        <w:rPr>
          <w:rFonts w:cstheme="minorHAnsi"/>
          <w:sz w:val="24"/>
          <w:szCs w:val="24"/>
          <w:lang w:val="de-DE"/>
        </w:rPr>
        <w:t>Jemima’s Story: Child, Class and the City</w:t>
      </w:r>
      <w:r w:rsidR="0045531D">
        <w:rPr>
          <w:rFonts w:cstheme="minorHAnsi"/>
          <w:sz w:val="24"/>
          <w:szCs w:val="24"/>
          <w:lang w:val="de-DE"/>
        </w:rPr>
        <w:t>]</w:t>
      </w:r>
      <w:r w:rsidR="00CA60B5" w:rsidRPr="0089008C">
        <w:rPr>
          <w:rFonts w:cstheme="minorHAnsi"/>
          <w:sz w:val="24"/>
          <w:szCs w:val="24"/>
          <w:lang w:val="de-DE"/>
        </w:rPr>
        <w:t xml:space="preserve"> in Birmingham</w:t>
      </w:r>
      <w:r w:rsidR="0006668A">
        <w:rPr>
          <w:rStyle w:val="FootnoteReference"/>
          <w:rFonts w:cstheme="minorHAnsi"/>
          <w:sz w:val="24"/>
          <w:szCs w:val="24"/>
          <w:lang w:val="de-DE"/>
        </w:rPr>
        <w:footnoteReference w:id="8"/>
      </w:r>
      <w:r w:rsidR="00D86387" w:rsidRPr="0089008C">
        <w:rPr>
          <w:rFonts w:cstheme="minorHAnsi"/>
          <w:sz w:val="24"/>
          <w:szCs w:val="24"/>
          <w:lang w:val="de-DE"/>
        </w:rPr>
        <w:t xml:space="preserve"> and, in 2000, the Gender Group once again represented ISCHE at the CISH conference</w:t>
      </w:r>
      <w:r w:rsidR="00267AC2" w:rsidRPr="0089008C">
        <w:rPr>
          <w:rFonts w:cstheme="minorHAnsi"/>
          <w:sz w:val="24"/>
          <w:szCs w:val="24"/>
          <w:lang w:val="de-DE"/>
        </w:rPr>
        <w:t>, this time even appearing on the main programme</w:t>
      </w:r>
      <w:r w:rsidR="00863700">
        <w:rPr>
          <w:rStyle w:val="FootnoteReference"/>
          <w:rFonts w:cstheme="minorHAnsi"/>
          <w:sz w:val="24"/>
          <w:szCs w:val="24"/>
          <w:lang w:val="de-DE"/>
        </w:rPr>
        <w:footnoteReference w:id="9"/>
      </w:r>
      <w:r w:rsidR="00D86387" w:rsidRPr="0089008C">
        <w:rPr>
          <w:rFonts w:cstheme="minorHAnsi"/>
          <w:sz w:val="24"/>
          <w:szCs w:val="24"/>
          <w:lang w:val="de-DE"/>
        </w:rPr>
        <w:t xml:space="preserve"> </w:t>
      </w:r>
      <w:r w:rsidR="00D86387" w:rsidRPr="0089008C">
        <w:rPr>
          <w:rFonts w:cstheme="minorHAnsi"/>
          <w:color w:val="FF0000"/>
          <w:sz w:val="24"/>
          <w:szCs w:val="24"/>
          <w:lang w:val="de-DE"/>
        </w:rPr>
        <w:t>[PPT</w:t>
      </w:r>
      <w:r w:rsidR="00E47ADA">
        <w:rPr>
          <w:rFonts w:cstheme="minorHAnsi"/>
          <w:color w:val="FF0000"/>
          <w:sz w:val="24"/>
          <w:szCs w:val="24"/>
          <w:lang w:val="de-DE"/>
        </w:rPr>
        <w:t>12</w:t>
      </w:r>
      <w:r w:rsidR="00D86387" w:rsidRPr="0089008C">
        <w:rPr>
          <w:rFonts w:cstheme="minorHAnsi"/>
          <w:color w:val="FF0000"/>
          <w:sz w:val="24"/>
          <w:szCs w:val="24"/>
          <w:lang w:val="de-DE"/>
        </w:rPr>
        <w:t xml:space="preserve"> Oslo, 2000</w:t>
      </w:r>
      <w:r w:rsidR="00E47ADA">
        <w:rPr>
          <w:rFonts w:cstheme="minorHAnsi"/>
          <w:color w:val="FF0000"/>
          <w:sz w:val="24"/>
          <w:szCs w:val="24"/>
          <w:lang w:val="de-DE"/>
        </w:rPr>
        <w:t>, apologies for my notes on this</w:t>
      </w:r>
      <w:r w:rsidR="00D86387" w:rsidRPr="0089008C">
        <w:rPr>
          <w:rFonts w:cstheme="minorHAnsi"/>
          <w:color w:val="FF0000"/>
          <w:sz w:val="24"/>
          <w:szCs w:val="24"/>
          <w:lang w:val="de-DE"/>
        </w:rPr>
        <w:t>]</w:t>
      </w:r>
      <w:r w:rsidR="00267AC2" w:rsidRPr="0089008C">
        <w:rPr>
          <w:rFonts w:cstheme="minorHAnsi"/>
          <w:color w:val="FF0000"/>
          <w:sz w:val="24"/>
          <w:szCs w:val="24"/>
          <w:lang w:val="de-DE"/>
        </w:rPr>
        <w:t xml:space="preserve">, </w:t>
      </w:r>
      <w:r w:rsidR="00D86387" w:rsidRPr="0089008C">
        <w:rPr>
          <w:rFonts w:cstheme="minorHAnsi"/>
          <w:sz w:val="24"/>
          <w:szCs w:val="24"/>
          <w:lang w:val="de-DE"/>
        </w:rPr>
        <w:t xml:space="preserve">so it appeared to be doing well. </w:t>
      </w:r>
    </w:p>
    <w:p w:rsidR="00B37747" w:rsidRPr="0089008C" w:rsidRDefault="00B37747" w:rsidP="00D42784">
      <w:pPr>
        <w:pStyle w:val="NoSpacing"/>
        <w:spacing w:line="276" w:lineRule="auto"/>
        <w:rPr>
          <w:rFonts w:cstheme="minorHAnsi"/>
          <w:sz w:val="24"/>
          <w:szCs w:val="24"/>
          <w:lang w:val="de-DE"/>
        </w:rPr>
      </w:pPr>
    </w:p>
    <w:p w:rsidR="0065172D" w:rsidRPr="0089008C" w:rsidRDefault="00D86387" w:rsidP="00D42784">
      <w:pPr>
        <w:pStyle w:val="NoSpacing"/>
        <w:spacing w:line="276" w:lineRule="auto"/>
        <w:rPr>
          <w:rFonts w:cstheme="minorHAnsi"/>
          <w:sz w:val="24"/>
          <w:szCs w:val="24"/>
        </w:rPr>
      </w:pPr>
      <w:r w:rsidRPr="0089008C">
        <w:rPr>
          <w:rFonts w:cstheme="minorHAnsi"/>
          <w:sz w:val="24"/>
          <w:szCs w:val="24"/>
          <w:lang w:val="de-DE"/>
        </w:rPr>
        <w:t xml:space="preserve">Furthermore publications in </w:t>
      </w:r>
      <w:r w:rsidRPr="0089008C">
        <w:rPr>
          <w:rFonts w:cstheme="minorHAnsi"/>
          <w:i/>
          <w:sz w:val="24"/>
          <w:szCs w:val="24"/>
          <w:lang w:val="de-DE"/>
        </w:rPr>
        <w:t xml:space="preserve">Paedagogica Historica </w:t>
      </w:r>
      <w:r w:rsidRPr="0089008C">
        <w:rPr>
          <w:rFonts w:cstheme="minorHAnsi"/>
          <w:sz w:val="24"/>
          <w:szCs w:val="24"/>
          <w:lang w:val="de-DE"/>
        </w:rPr>
        <w:t xml:space="preserve"> were increasing,</w:t>
      </w:r>
      <w:r w:rsidR="007A4DA1" w:rsidRPr="0089008C">
        <w:rPr>
          <w:rFonts w:cstheme="minorHAnsi"/>
          <w:sz w:val="24"/>
          <w:szCs w:val="24"/>
          <w:lang w:val="de-DE"/>
        </w:rPr>
        <w:t xml:space="preserve"> </w:t>
      </w:r>
      <w:r w:rsidR="0065172D" w:rsidRPr="0089008C">
        <w:rPr>
          <w:rFonts w:cstheme="minorHAnsi"/>
          <w:sz w:val="24"/>
          <w:szCs w:val="24"/>
        </w:rPr>
        <w:t>although, equally, it is interesting how many issues there are, even those with special editions, where gender is not tackled. The 1998 conference on the visual on education only published one paper</w:t>
      </w:r>
      <w:r w:rsidR="00C23FAC">
        <w:rPr>
          <w:rFonts w:cstheme="minorHAnsi"/>
          <w:sz w:val="24"/>
          <w:szCs w:val="24"/>
        </w:rPr>
        <w:t xml:space="preserve"> </w:t>
      </w:r>
      <w:r w:rsidR="00F839C1">
        <w:rPr>
          <w:rFonts w:cstheme="minorHAnsi"/>
          <w:sz w:val="24"/>
          <w:szCs w:val="24"/>
        </w:rPr>
        <w:t>in 2000</w:t>
      </w:r>
      <w:r w:rsidR="00C23FAC">
        <w:rPr>
          <w:rFonts w:cstheme="minorHAnsi"/>
          <w:sz w:val="24"/>
          <w:szCs w:val="24"/>
        </w:rPr>
        <w:t>-</w:t>
      </w:r>
      <w:r w:rsidR="0065172D" w:rsidRPr="0089008C">
        <w:rPr>
          <w:rFonts w:cstheme="minorHAnsi"/>
          <w:sz w:val="24"/>
          <w:szCs w:val="24"/>
        </w:rPr>
        <w:t xml:space="preserve"> </w:t>
      </w:r>
      <w:r w:rsidR="00C23FAC" w:rsidRPr="001828E5">
        <w:rPr>
          <w:rFonts w:cstheme="minorHAnsi"/>
          <w:sz w:val="24"/>
          <w:szCs w:val="24"/>
        </w:rPr>
        <w:lastRenderedPageBreak/>
        <w:t>Malcolm Vick</w:t>
      </w:r>
      <w:r w:rsidR="00F839C1" w:rsidRPr="001828E5">
        <w:rPr>
          <w:rFonts w:cstheme="minorHAnsi"/>
          <w:sz w:val="24"/>
          <w:szCs w:val="24"/>
        </w:rPr>
        <w:t>’s on</w:t>
      </w:r>
      <w:r w:rsidR="00C23FAC" w:rsidRPr="001828E5">
        <w:rPr>
          <w:rFonts w:cstheme="minorHAnsi"/>
          <w:sz w:val="24"/>
          <w:szCs w:val="24"/>
        </w:rPr>
        <w:t xml:space="preserve"> ‘What does a Teacher look like?’</w:t>
      </w:r>
      <w:r w:rsidR="00F839C1" w:rsidRPr="001828E5">
        <w:rPr>
          <w:rStyle w:val="FootnoteReference"/>
          <w:rFonts w:cstheme="minorHAnsi"/>
          <w:sz w:val="24"/>
          <w:szCs w:val="24"/>
        </w:rPr>
        <w:footnoteReference w:id="10"/>
      </w:r>
      <w:r w:rsidR="00C23FAC" w:rsidRPr="001828E5">
        <w:rPr>
          <w:rFonts w:cstheme="minorHAnsi"/>
          <w:sz w:val="24"/>
          <w:szCs w:val="24"/>
        </w:rPr>
        <w:t xml:space="preserve"> </w:t>
      </w:r>
      <w:proofErr w:type="gramStart"/>
      <w:r w:rsidR="0065172D" w:rsidRPr="001828E5">
        <w:rPr>
          <w:rFonts w:cstheme="minorHAnsi"/>
          <w:sz w:val="24"/>
          <w:szCs w:val="24"/>
        </w:rPr>
        <w:t>which</w:t>
      </w:r>
      <w:proofErr w:type="gramEnd"/>
      <w:r w:rsidR="0065172D" w:rsidRPr="001828E5">
        <w:rPr>
          <w:rFonts w:cstheme="minorHAnsi"/>
          <w:sz w:val="24"/>
          <w:szCs w:val="24"/>
        </w:rPr>
        <w:t xml:space="preserve"> even briefly touched on gender but it had a full gender meeting and papers. Some ISCHE papers were implicitly on gender </w:t>
      </w:r>
      <w:r w:rsidR="00E356C8" w:rsidRPr="001828E5">
        <w:rPr>
          <w:rFonts w:cstheme="minorHAnsi"/>
          <w:sz w:val="24"/>
          <w:szCs w:val="24"/>
        </w:rPr>
        <w:t>such as that by Nelleke Bakker in 1998</w:t>
      </w:r>
      <w:r w:rsidR="00E356C8" w:rsidRPr="001828E5">
        <w:rPr>
          <w:rStyle w:val="FootnoteReference"/>
          <w:rFonts w:cstheme="minorHAnsi"/>
          <w:sz w:val="24"/>
          <w:szCs w:val="24"/>
        </w:rPr>
        <w:footnoteReference w:id="11"/>
      </w:r>
      <w:r w:rsidR="00E356C8" w:rsidRPr="001828E5">
        <w:rPr>
          <w:rFonts w:cstheme="minorHAnsi"/>
          <w:sz w:val="24"/>
          <w:szCs w:val="24"/>
        </w:rPr>
        <w:t xml:space="preserve">  on child-rearing advice in the Netherlands. </w:t>
      </w:r>
      <w:r w:rsidR="0065172D" w:rsidRPr="001828E5">
        <w:rPr>
          <w:rFonts w:cstheme="minorHAnsi"/>
          <w:sz w:val="24"/>
          <w:szCs w:val="24"/>
        </w:rPr>
        <w:t xml:space="preserve">Papers that deal with women have at least to touch on gender issues because their experiences would be different from the established norm; e.g. Willie </w:t>
      </w:r>
      <w:proofErr w:type="spellStart"/>
      <w:r w:rsidR="0065172D" w:rsidRPr="001828E5">
        <w:rPr>
          <w:rFonts w:cstheme="minorHAnsi"/>
          <w:sz w:val="24"/>
          <w:szCs w:val="24"/>
        </w:rPr>
        <w:t>Henderse</w:t>
      </w:r>
      <w:r w:rsidR="001828E5">
        <w:rPr>
          <w:rFonts w:cstheme="minorHAnsi"/>
          <w:sz w:val="24"/>
          <w:szCs w:val="24"/>
        </w:rPr>
        <w:t>n</w:t>
      </w:r>
      <w:proofErr w:type="spellEnd"/>
      <w:r w:rsidR="0065172D" w:rsidRPr="0089008C">
        <w:rPr>
          <w:rFonts w:cstheme="minorHAnsi"/>
          <w:sz w:val="24"/>
          <w:szCs w:val="24"/>
        </w:rPr>
        <w:t xml:space="preserve"> writing about Millicent Fawcett and other female </w:t>
      </w:r>
      <w:r w:rsidR="001828E5">
        <w:rPr>
          <w:rFonts w:cstheme="minorHAnsi"/>
          <w:sz w:val="24"/>
          <w:szCs w:val="24"/>
        </w:rPr>
        <w:t>writers on political economy had</w:t>
      </w:r>
      <w:r w:rsidR="0065172D" w:rsidRPr="0089008C">
        <w:rPr>
          <w:rFonts w:cstheme="minorHAnsi"/>
          <w:sz w:val="24"/>
          <w:szCs w:val="24"/>
        </w:rPr>
        <w:t xml:space="preserve"> to discuss the hostility of some male political economist writers towards their popular works and why Millicent’s approach was different.</w:t>
      </w:r>
      <w:r w:rsidR="00F839C1">
        <w:rPr>
          <w:rStyle w:val="FootnoteReference"/>
          <w:rFonts w:cstheme="minorHAnsi"/>
          <w:sz w:val="24"/>
          <w:szCs w:val="24"/>
        </w:rPr>
        <w:footnoteReference w:id="12"/>
      </w:r>
      <w:r w:rsidR="0065172D" w:rsidRPr="0089008C">
        <w:rPr>
          <w:rFonts w:cstheme="minorHAnsi"/>
          <w:sz w:val="24"/>
          <w:szCs w:val="24"/>
        </w:rPr>
        <w:t xml:space="preserve"> </w:t>
      </w:r>
      <w:r w:rsidR="00E356C8">
        <w:rPr>
          <w:rFonts w:cstheme="minorHAnsi"/>
          <w:sz w:val="24"/>
          <w:szCs w:val="24"/>
        </w:rPr>
        <w:t>Papers on boys often do not</w:t>
      </w:r>
      <w:r w:rsidR="00E356C8" w:rsidRPr="0089008C">
        <w:rPr>
          <w:rFonts w:cstheme="minorHAnsi"/>
          <w:sz w:val="24"/>
          <w:szCs w:val="24"/>
        </w:rPr>
        <w:t xml:space="preserve"> address</w:t>
      </w:r>
      <w:r w:rsidR="00E356C8">
        <w:rPr>
          <w:rFonts w:cstheme="minorHAnsi"/>
          <w:sz w:val="24"/>
          <w:szCs w:val="24"/>
        </w:rPr>
        <w:t xml:space="preserve"> gender</w:t>
      </w:r>
      <w:r w:rsidR="00E356C8" w:rsidRPr="0089008C">
        <w:rPr>
          <w:rFonts w:cstheme="minorHAnsi"/>
          <w:sz w:val="24"/>
          <w:szCs w:val="24"/>
        </w:rPr>
        <w:t xml:space="preserve">. </w:t>
      </w:r>
      <w:r w:rsidR="0065172D" w:rsidRPr="0089008C">
        <w:rPr>
          <w:rFonts w:cstheme="minorHAnsi"/>
          <w:sz w:val="24"/>
          <w:szCs w:val="24"/>
        </w:rPr>
        <w:t xml:space="preserve">Perhaps, however, some of the papers </w:t>
      </w:r>
      <w:r w:rsidR="003C6F74">
        <w:rPr>
          <w:rFonts w:cstheme="minorHAnsi"/>
          <w:sz w:val="24"/>
          <w:szCs w:val="24"/>
        </w:rPr>
        <w:t xml:space="preserve">I’ve </w:t>
      </w:r>
      <w:r w:rsidR="0065172D" w:rsidRPr="0089008C">
        <w:rPr>
          <w:rFonts w:cstheme="minorHAnsi"/>
          <w:sz w:val="24"/>
          <w:szCs w:val="24"/>
        </w:rPr>
        <w:t xml:space="preserve">included because they are about girls’ education do not </w:t>
      </w:r>
      <w:r w:rsidR="001828E5">
        <w:rPr>
          <w:rFonts w:cstheme="minorHAnsi"/>
          <w:sz w:val="24"/>
          <w:szCs w:val="24"/>
        </w:rPr>
        <w:t xml:space="preserve">really do so </w:t>
      </w:r>
      <w:r w:rsidR="00E356C8">
        <w:rPr>
          <w:rFonts w:cstheme="minorHAnsi"/>
          <w:sz w:val="24"/>
          <w:szCs w:val="24"/>
        </w:rPr>
        <w:t>either</w:t>
      </w:r>
      <w:r w:rsidR="0065172D" w:rsidRPr="0089008C">
        <w:rPr>
          <w:rFonts w:cstheme="minorHAnsi"/>
          <w:sz w:val="24"/>
          <w:szCs w:val="24"/>
        </w:rPr>
        <w:t xml:space="preserve">. </w:t>
      </w:r>
    </w:p>
    <w:p w:rsidR="0065172D" w:rsidRPr="0089008C" w:rsidRDefault="0065172D" w:rsidP="00D42784">
      <w:pPr>
        <w:pStyle w:val="NoSpacing"/>
        <w:spacing w:line="276" w:lineRule="auto"/>
        <w:rPr>
          <w:rFonts w:cstheme="minorHAnsi"/>
          <w:sz w:val="24"/>
          <w:szCs w:val="24"/>
        </w:rPr>
      </w:pPr>
    </w:p>
    <w:p w:rsidR="00E37BBA" w:rsidRPr="0089008C" w:rsidRDefault="0065172D" w:rsidP="00D42784">
      <w:pPr>
        <w:pStyle w:val="NoSpacing"/>
        <w:spacing w:line="276" w:lineRule="auto"/>
        <w:rPr>
          <w:rFonts w:cstheme="minorHAnsi"/>
          <w:sz w:val="24"/>
          <w:szCs w:val="24"/>
        </w:rPr>
      </w:pPr>
      <w:r w:rsidRPr="0089008C">
        <w:rPr>
          <w:rFonts w:cstheme="minorHAnsi"/>
          <w:sz w:val="24"/>
          <w:szCs w:val="24"/>
        </w:rPr>
        <w:t xml:space="preserve">Publications </w:t>
      </w:r>
      <w:r w:rsidR="00267AC2" w:rsidRPr="0089008C">
        <w:rPr>
          <w:rFonts w:cstheme="minorHAnsi"/>
          <w:sz w:val="24"/>
          <w:szCs w:val="24"/>
        </w:rPr>
        <w:t xml:space="preserve">grew </w:t>
      </w:r>
      <w:r w:rsidR="00D86387" w:rsidRPr="0089008C">
        <w:rPr>
          <w:rFonts w:cstheme="minorHAnsi"/>
          <w:sz w:val="24"/>
          <w:szCs w:val="24"/>
          <w:lang w:val="de-DE"/>
        </w:rPr>
        <w:t xml:space="preserve">especially from conferences </w:t>
      </w:r>
      <w:r w:rsidR="00C94196" w:rsidRPr="0089008C">
        <w:rPr>
          <w:rFonts w:cstheme="minorHAnsi"/>
          <w:sz w:val="24"/>
          <w:szCs w:val="24"/>
          <w:lang w:val="de-DE"/>
        </w:rPr>
        <w:t xml:space="preserve">once the Gender group‘s papers were integrated into them, </w:t>
      </w:r>
      <w:r w:rsidR="00D86387" w:rsidRPr="0089008C">
        <w:rPr>
          <w:rFonts w:cstheme="minorHAnsi"/>
          <w:sz w:val="24"/>
          <w:szCs w:val="24"/>
          <w:lang w:val="de-DE"/>
        </w:rPr>
        <w:t xml:space="preserve">as is evidenced </w:t>
      </w:r>
      <w:r w:rsidR="009D7E89">
        <w:rPr>
          <w:rFonts w:cstheme="minorHAnsi"/>
          <w:sz w:val="24"/>
          <w:szCs w:val="24"/>
          <w:lang w:val="de-DE"/>
        </w:rPr>
        <w:t xml:space="preserve">by the </w:t>
      </w:r>
      <w:r w:rsidR="00327FDC">
        <w:rPr>
          <w:rFonts w:cstheme="minorHAnsi"/>
          <w:sz w:val="24"/>
          <w:szCs w:val="24"/>
        </w:rPr>
        <w:t>5</w:t>
      </w:r>
      <w:r w:rsidR="009D7E89" w:rsidRPr="0089008C">
        <w:rPr>
          <w:rFonts w:cstheme="minorHAnsi"/>
          <w:sz w:val="24"/>
          <w:szCs w:val="24"/>
        </w:rPr>
        <w:t xml:space="preserve"> gender papers</w:t>
      </w:r>
      <w:r w:rsidR="009D7E89">
        <w:rPr>
          <w:rFonts w:cstheme="minorHAnsi"/>
          <w:sz w:val="24"/>
          <w:szCs w:val="24"/>
          <w:lang w:val="de-DE"/>
        </w:rPr>
        <w:t xml:space="preserve"> </w:t>
      </w:r>
      <w:r w:rsidR="00D86387" w:rsidRPr="0089008C">
        <w:rPr>
          <w:rFonts w:cstheme="minorHAnsi"/>
          <w:sz w:val="24"/>
          <w:szCs w:val="24"/>
          <w:lang w:val="de-DE"/>
        </w:rPr>
        <w:t xml:space="preserve">in the 2001 first issue which came from the Sydney </w:t>
      </w:r>
      <w:r w:rsidR="00D86387" w:rsidRPr="0089008C">
        <w:rPr>
          <w:rFonts w:cstheme="minorHAnsi"/>
          <w:sz w:val="24"/>
          <w:szCs w:val="24"/>
        </w:rPr>
        <w:t>conference on ‘Education and Ethnicity’ of 1999.</w:t>
      </w:r>
      <w:r w:rsidR="009D7E89">
        <w:rPr>
          <w:rStyle w:val="FootnoteReference"/>
          <w:rFonts w:cstheme="minorHAnsi"/>
          <w:sz w:val="24"/>
          <w:szCs w:val="24"/>
        </w:rPr>
        <w:footnoteReference w:id="13"/>
      </w:r>
      <w:r w:rsidR="009D7E89">
        <w:rPr>
          <w:rFonts w:cstheme="minorHAnsi"/>
          <w:sz w:val="24"/>
          <w:szCs w:val="24"/>
        </w:rPr>
        <w:t xml:space="preserve"> </w:t>
      </w:r>
      <w:r w:rsidR="009D7E89" w:rsidRPr="009D7E89">
        <w:rPr>
          <w:rFonts w:cstheme="minorHAnsi"/>
          <w:color w:val="FF0000"/>
          <w:sz w:val="24"/>
          <w:szCs w:val="24"/>
        </w:rPr>
        <w:t>[PPT</w:t>
      </w:r>
      <w:r w:rsidR="00E47ADA">
        <w:rPr>
          <w:rFonts w:cstheme="minorHAnsi"/>
          <w:color w:val="FF0000"/>
          <w:sz w:val="24"/>
          <w:szCs w:val="24"/>
        </w:rPr>
        <w:t>13</w:t>
      </w:r>
      <w:r w:rsidR="009D7E89" w:rsidRPr="009D7E89">
        <w:rPr>
          <w:rFonts w:cstheme="minorHAnsi"/>
          <w:color w:val="FF0000"/>
          <w:sz w:val="24"/>
          <w:szCs w:val="24"/>
        </w:rPr>
        <w:t>]</w:t>
      </w:r>
      <w:r w:rsidR="009D7E89">
        <w:rPr>
          <w:rFonts w:cstheme="minorHAnsi"/>
          <w:color w:val="FF0000"/>
          <w:sz w:val="24"/>
          <w:szCs w:val="24"/>
        </w:rPr>
        <w:t xml:space="preserve"> </w:t>
      </w:r>
      <w:r w:rsidR="00D86387" w:rsidRPr="0089008C">
        <w:rPr>
          <w:rFonts w:cstheme="minorHAnsi"/>
          <w:sz w:val="24"/>
          <w:szCs w:val="24"/>
        </w:rPr>
        <w:t xml:space="preserve">  </w:t>
      </w:r>
      <w:r w:rsidR="00815259" w:rsidRPr="0089008C">
        <w:rPr>
          <w:rFonts w:cstheme="minorHAnsi"/>
          <w:sz w:val="24"/>
          <w:szCs w:val="24"/>
        </w:rPr>
        <w:t>T</w:t>
      </w:r>
      <w:r w:rsidR="00B37747" w:rsidRPr="0089008C">
        <w:rPr>
          <w:rFonts w:cstheme="minorHAnsi"/>
          <w:sz w:val="24"/>
          <w:szCs w:val="24"/>
        </w:rPr>
        <w:t xml:space="preserve">he Birmingham conference of 2001 </w:t>
      </w:r>
      <w:r w:rsidR="00815259" w:rsidRPr="0089008C">
        <w:rPr>
          <w:rFonts w:cstheme="minorHAnsi"/>
          <w:sz w:val="24"/>
          <w:szCs w:val="24"/>
        </w:rPr>
        <w:t>was similar</w:t>
      </w:r>
      <w:r w:rsidR="00AE61BA">
        <w:rPr>
          <w:rFonts w:cstheme="minorHAnsi"/>
          <w:sz w:val="24"/>
          <w:szCs w:val="24"/>
        </w:rPr>
        <w:t>.</w:t>
      </w:r>
      <w:r w:rsidR="003C6F74" w:rsidRPr="003C6F74">
        <w:rPr>
          <w:rStyle w:val="FootnoteReference"/>
          <w:rFonts w:cstheme="minorHAnsi"/>
          <w:color w:val="632423" w:themeColor="accent2" w:themeShade="80"/>
          <w:sz w:val="24"/>
          <w:szCs w:val="24"/>
        </w:rPr>
        <w:footnoteReference w:id="14"/>
      </w:r>
      <w:r w:rsidR="00E37BBA" w:rsidRPr="0089008C">
        <w:rPr>
          <w:rFonts w:cstheme="minorHAnsi"/>
          <w:sz w:val="24"/>
          <w:szCs w:val="24"/>
        </w:rPr>
        <w:t xml:space="preserve"> </w:t>
      </w:r>
      <w:r w:rsidR="00267AC2" w:rsidRPr="0089008C">
        <w:rPr>
          <w:rFonts w:cstheme="minorHAnsi"/>
          <w:sz w:val="24"/>
          <w:szCs w:val="24"/>
        </w:rPr>
        <w:t>It must be noted that conference organisers cho</w:t>
      </w:r>
      <w:r w:rsidR="00815259" w:rsidRPr="0089008C">
        <w:rPr>
          <w:rFonts w:cstheme="minorHAnsi"/>
          <w:sz w:val="24"/>
          <w:szCs w:val="24"/>
        </w:rPr>
        <w:t>o</w:t>
      </w:r>
      <w:r w:rsidR="00267AC2" w:rsidRPr="0089008C">
        <w:rPr>
          <w:rFonts w:cstheme="minorHAnsi"/>
          <w:sz w:val="24"/>
          <w:szCs w:val="24"/>
        </w:rPr>
        <w:t>se the theme in the first place and cho</w:t>
      </w:r>
      <w:r w:rsidR="00815259" w:rsidRPr="0089008C">
        <w:rPr>
          <w:rFonts w:cstheme="minorHAnsi"/>
          <w:sz w:val="24"/>
          <w:szCs w:val="24"/>
        </w:rPr>
        <w:t>o</w:t>
      </w:r>
      <w:r w:rsidR="00267AC2" w:rsidRPr="0089008C">
        <w:rPr>
          <w:rFonts w:cstheme="minorHAnsi"/>
          <w:sz w:val="24"/>
          <w:szCs w:val="24"/>
        </w:rPr>
        <w:t xml:space="preserve">se which papers should go in. </w:t>
      </w:r>
      <w:r w:rsidR="00E37BBA" w:rsidRPr="0089008C">
        <w:rPr>
          <w:rFonts w:cstheme="minorHAnsi"/>
          <w:sz w:val="24"/>
          <w:szCs w:val="24"/>
        </w:rPr>
        <w:t xml:space="preserve"> </w:t>
      </w:r>
      <w:r w:rsidR="00267AC2" w:rsidRPr="0089008C">
        <w:rPr>
          <w:rFonts w:cstheme="minorHAnsi"/>
          <w:sz w:val="24"/>
          <w:szCs w:val="24"/>
        </w:rPr>
        <w:t>E</w:t>
      </w:r>
      <w:r w:rsidR="00E37BBA" w:rsidRPr="0089008C">
        <w:rPr>
          <w:rFonts w:cstheme="minorHAnsi"/>
          <w:sz w:val="24"/>
          <w:szCs w:val="24"/>
        </w:rPr>
        <w:t xml:space="preserve">ditors </w:t>
      </w:r>
      <w:r w:rsidR="00267AC2" w:rsidRPr="0089008C">
        <w:rPr>
          <w:rFonts w:cstheme="minorHAnsi"/>
          <w:sz w:val="24"/>
          <w:szCs w:val="24"/>
        </w:rPr>
        <w:t xml:space="preserve">of special and themed issues </w:t>
      </w:r>
      <w:r w:rsidR="00E37BBA" w:rsidRPr="0089008C">
        <w:rPr>
          <w:rFonts w:cstheme="minorHAnsi"/>
          <w:sz w:val="24"/>
          <w:szCs w:val="24"/>
        </w:rPr>
        <w:t xml:space="preserve">can be significant </w:t>
      </w:r>
      <w:r w:rsidR="00267AC2" w:rsidRPr="0089008C">
        <w:rPr>
          <w:rFonts w:cstheme="minorHAnsi"/>
          <w:sz w:val="24"/>
          <w:szCs w:val="24"/>
        </w:rPr>
        <w:t>too.</w:t>
      </w:r>
    </w:p>
    <w:p w:rsidR="00D72BA3" w:rsidRPr="0089008C" w:rsidRDefault="00D72BA3" w:rsidP="00D42784">
      <w:pPr>
        <w:pStyle w:val="NoSpacing"/>
        <w:spacing w:line="276" w:lineRule="auto"/>
        <w:rPr>
          <w:rFonts w:cstheme="minorHAnsi"/>
          <w:sz w:val="24"/>
          <w:szCs w:val="24"/>
        </w:rPr>
      </w:pPr>
    </w:p>
    <w:p w:rsidR="00152538" w:rsidRPr="0089008C" w:rsidRDefault="00152538" w:rsidP="00D42784">
      <w:pPr>
        <w:rPr>
          <w:rFonts w:cstheme="minorHAnsi"/>
          <w:sz w:val="24"/>
          <w:szCs w:val="24"/>
        </w:rPr>
      </w:pPr>
      <w:r w:rsidRPr="0089008C">
        <w:rPr>
          <w:rFonts w:cstheme="minorHAnsi"/>
          <w:bCs/>
          <w:sz w:val="24"/>
          <w:szCs w:val="24"/>
        </w:rPr>
        <w:t>Generally, between 1998 and 2007, gender papers were given within the main conference, not in separate SWG</w:t>
      </w:r>
      <w:r w:rsidR="00E47ADA">
        <w:rPr>
          <w:rFonts w:cstheme="minorHAnsi"/>
          <w:bCs/>
          <w:sz w:val="24"/>
          <w:szCs w:val="24"/>
        </w:rPr>
        <w:t>G</w:t>
      </w:r>
      <w:r w:rsidRPr="0089008C">
        <w:rPr>
          <w:rFonts w:cstheme="minorHAnsi"/>
          <w:bCs/>
          <w:sz w:val="24"/>
          <w:szCs w:val="24"/>
        </w:rPr>
        <w:t xml:space="preserve"> meetings, the panels organized by the convenor in liaison with the conference organizers for that year. </w:t>
      </w:r>
      <w:r w:rsidRPr="0089008C">
        <w:rPr>
          <w:rFonts w:cstheme="minorHAnsi"/>
          <w:sz w:val="24"/>
          <w:szCs w:val="24"/>
        </w:rPr>
        <w:t xml:space="preserve">Geoffrey Giles the </w:t>
      </w:r>
      <w:r w:rsidR="00AE61BA">
        <w:rPr>
          <w:rFonts w:cstheme="minorHAnsi"/>
          <w:sz w:val="24"/>
          <w:szCs w:val="24"/>
        </w:rPr>
        <w:t xml:space="preserve">first </w:t>
      </w:r>
      <w:r w:rsidRPr="0089008C">
        <w:rPr>
          <w:rFonts w:cstheme="minorHAnsi"/>
          <w:sz w:val="24"/>
          <w:szCs w:val="24"/>
        </w:rPr>
        <w:t xml:space="preserve">convenor </w:t>
      </w:r>
      <w:r w:rsidR="00AE61BA">
        <w:rPr>
          <w:rFonts w:cstheme="minorHAnsi"/>
          <w:sz w:val="24"/>
          <w:szCs w:val="24"/>
        </w:rPr>
        <w:t>increasingl</w:t>
      </w:r>
      <w:r w:rsidRPr="0089008C">
        <w:rPr>
          <w:rFonts w:cstheme="minorHAnsi"/>
          <w:sz w:val="24"/>
          <w:szCs w:val="24"/>
        </w:rPr>
        <w:t xml:space="preserve">y could not attend because of work commitments, so I deputised for him </w:t>
      </w:r>
      <w:r w:rsidR="00AE61BA">
        <w:rPr>
          <w:rFonts w:cstheme="minorHAnsi"/>
          <w:sz w:val="24"/>
          <w:szCs w:val="24"/>
        </w:rPr>
        <w:t>as I did</w:t>
      </w:r>
      <w:r w:rsidRPr="0089008C">
        <w:rPr>
          <w:rFonts w:cstheme="minorHAnsi"/>
          <w:sz w:val="24"/>
          <w:szCs w:val="24"/>
        </w:rPr>
        <w:t xml:space="preserve"> </w:t>
      </w:r>
      <w:r w:rsidR="00AE61BA">
        <w:rPr>
          <w:rFonts w:cstheme="minorHAnsi"/>
          <w:sz w:val="24"/>
          <w:szCs w:val="24"/>
        </w:rPr>
        <w:t>w</w:t>
      </w:r>
      <w:r w:rsidRPr="0089008C">
        <w:rPr>
          <w:rFonts w:cstheme="minorHAnsi"/>
          <w:sz w:val="24"/>
          <w:szCs w:val="24"/>
        </w:rPr>
        <w:t xml:space="preserve">hen </w:t>
      </w:r>
      <w:r w:rsidR="00AE61BA">
        <w:rPr>
          <w:rFonts w:cstheme="minorHAnsi"/>
          <w:sz w:val="24"/>
          <w:szCs w:val="24"/>
        </w:rPr>
        <w:t xml:space="preserve">his successor </w:t>
      </w:r>
      <w:r w:rsidRPr="0089008C">
        <w:rPr>
          <w:rFonts w:cstheme="minorHAnsi"/>
          <w:sz w:val="24"/>
          <w:szCs w:val="24"/>
        </w:rPr>
        <w:t xml:space="preserve">Mineke van Essen </w:t>
      </w:r>
      <w:r w:rsidR="00AE61BA">
        <w:rPr>
          <w:rFonts w:cstheme="minorHAnsi"/>
          <w:sz w:val="24"/>
          <w:szCs w:val="24"/>
        </w:rPr>
        <w:t>could not attend</w:t>
      </w:r>
      <w:r w:rsidRPr="0089008C">
        <w:rPr>
          <w:rFonts w:cstheme="minorHAnsi"/>
          <w:sz w:val="24"/>
          <w:szCs w:val="24"/>
        </w:rPr>
        <w:t xml:space="preserve">. </w:t>
      </w:r>
    </w:p>
    <w:p w:rsidR="00183C60" w:rsidRPr="0089008C" w:rsidRDefault="00267AC2" w:rsidP="00D42784">
      <w:pPr>
        <w:spacing w:after="0"/>
        <w:rPr>
          <w:rFonts w:cstheme="minorHAnsi"/>
          <w:bCs/>
          <w:sz w:val="24"/>
          <w:szCs w:val="24"/>
          <w:lang w:val="en-US"/>
        </w:rPr>
      </w:pPr>
      <w:r w:rsidRPr="0089008C">
        <w:rPr>
          <w:rFonts w:cstheme="minorHAnsi"/>
          <w:sz w:val="24"/>
          <w:szCs w:val="24"/>
          <w:lang w:val="de-DE"/>
        </w:rPr>
        <w:t xml:space="preserve">By 2005 the gender group felt secure in thinking it had achieved its aims. ISCHE had now affiliated to CISH so when this met in Sydney in 2005 for the </w:t>
      </w:r>
      <w:r w:rsidRPr="0089008C">
        <w:rPr>
          <w:rFonts w:cstheme="minorHAnsi"/>
          <w:sz w:val="24"/>
          <w:szCs w:val="24"/>
        </w:rPr>
        <w:t xml:space="preserve">first time ISCHE was part of it and the gender papers were part of the ISCHE conference on ‘Borders and Boundaries’ </w:t>
      </w:r>
      <w:r w:rsidR="00AE61BA" w:rsidRPr="00AE61BA">
        <w:rPr>
          <w:rFonts w:cstheme="minorHAnsi"/>
          <w:color w:val="FF0000"/>
          <w:sz w:val="24"/>
          <w:szCs w:val="24"/>
        </w:rPr>
        <w:t>[PPT</w:t>
      </w:r>
      <w:r w:rsidR="00E47ADA">
        <w:rPr>
          <w:rFonts w:cstheme="minorHAnsi"/>
          <w:color w:val="FF0000"/>
          <w:sz w:val="24"/>
          <w:szCs w:val="24"/>
        </w:rPr>
        <w:t>14</w:t>
      </w:r>
      <w:r w:rsidR="00AE61BA" w:rsidRPr="00AE61BA">
        <w:rPr>
          <w:rFonts w:cstheme="minorHAnsi"/>
          <w:color w:val="FF0000"/>
          <w:sz w:val="24"/>
          <w:szCs w:val="24"/>
        </w:rPr>
        <w:t>]</w:t>
      </w:r>
      <w:r w:rsidR="00AE61BA">
        <w:rPr>
          <w:rFonts w:cstheme="minorHAnsi"/>
          <w:sz w:val="24"/>
          <w:szCs w:val="24"/>
        </w:rPr>
        <w:t xml:space="preserve"> </w:t>
      </w:r>
      <w:r w:rsidRPr="0089008C">
        <w:rPr>
          <w:rFonts w:cstheme="minorHAnsi"/>
          <w:sz w:val="24"/>
          <w:szCs w:val="24"/>
        </w:rPr>
        <w:t xml:space="preserve">running within the larger conference. Australia as usual proved fruitful for the SWG with </w:t>
      </w:r>
      <w:r w:rsidR="0076652B" w:rsidRPr="0089008C">
        <w:rPr>
          <w:rFonts w:cstheme="minorHAnsi"/>
          <w:sz w:val="24"/>
          <w:szCs w:val="24"/>
        </w:rPr>
        <w:t xml:space="preserve">4 papers </w:t>
      </w:r>
      <w:r w:rsidR="00173783" w:rsidRPr="0089008C">
        <w:rPr>
          <w:rFonts w:cstheme="minorHAnsi"/>
          <w:sz w:val="24"/>
          <w:szCs w:val="24"/>
        </w:rPr>
        <w:t xml:space="preserve">published </w:t>
      </w:r>
      <w:r w:rsidR="0076652B" w:rsidRPr="0089008C">
        <w:rPr>
          <w:rFonts w:cstheme="minorHAnsi"/>
          <w:sz w:val="24"/>
          <w:szCs w:val="24"/>
        </w:rPr>
        <w:t xml:space="preserve">in </w:t>
      </w:r>
      <w:r w:rsidR="0076652B" w:rsidRPr="0089008C">
        <w:rPr>
          <w:rFonts w:cstheme="minorHAnsi"/>
          <w:i/>
          <w:sz w:val="24"/>
          <w:szCs w:val="24"/>
        </w:rPr>
        <w:t>PH</w:t>
      </w:r>
      <w:r w:rsidR="0076652B" w:rsidRPr="0089008C">
        <w:rPr>
          <w:rFonts w:cstheme="minorHAnsi"/>
          <w:sz w:val="24"/>
          <w:szCs w:val="24"/>
        </w:rPr>
        <w:t>.</w:t>
      </w:r>
      <w:r w:rsidR="00CB4579" w:rsidRPr="0089008C">
        <w:rPr>
          <w:rFonts w:cstheme="minorHAnsi"/>
          <w:sz w:val="24"/>
          <w:szCs w:val="24"/>
        </w:rPr>
        <w:t xml:space="preserve"> The SWG therefore decided that we no longer needed to meet as a specific group</w:t>
      </w:r>
      <w:r w:rsidR="001E1274" w:rsidRPr="0089008C">
        <w:rPr>
          <w:rFonts w:cstheme="minorHAnsi"/>
          <w:sz w:val="24"/>
          <w:szCs w:val="24"/>
        </w:rPr>
        <w:t xml:space="preserve"> and so disbanded. The following year at </w:t>
      </w:r>
      <w:r w:rsidR="00393E1B" w:rsidRPr="0089008C">
        <w:rPr>
          <w:rFonts w:cstheme="minorHAnsi"/>
          <w:sz w:val="24"/>
          <w:szCs w:val="24"/>
        </w:rPr>
        <w:t>Umea</w:t>
      </w:r>
      <w:r w:rsidR="001E1274" w:rsidRPr="0089008C">
        <w:rPr>
          <w:rFonts w:cstheme="minorHAnsi"/>
          <w:sz w:val="24"/>
          <w:szCs w:val="24"/>
        </w:rPr>
        <w:t>, however, although there were 12 papers on gender and more notice generally was being taken in papers on other issues of the differing experiences of males and females,</w:t>
      </w:r>
      <w:r w:rsidR="00772E9A">
        <w:rPr>
          <w:rStyle w:val="FootnoteReference"/>
          <w:rFonts w:cstheme="minorHAnsi"/>
          <w:sz w:val="24"/>
          <w:szCs w:val="24"/>
        </w:rPr>
        <w:footnoteReference w:id="15"/>
      </w:r>
      <w:r w:rsidR="001E1274" w:rsidRPr="0089008C">
        <w:rPr>
          <w:rFonts w:cstheme="minorHAnsi"/>
          <w:sz w:val="24"/>
          <w:szCs w:val="24"/>
        </w:rPr>
        <w:t xml:space="preserve"> great dissatisfaction was expressed</w:t>
      </w:r>
      <w:r w:rsidR="00393E1B" w:rsidRPr="0089008C">
        <w:rPr>
          <w:rFonts w:cstheme="minorHAnsi"/>
          <w:sz w:val="24"/>
          <w:szCs w:val="24"/>
        </w:rPr>
        <w:t xml:space="preserve"> </w:t>
      </w:r>
      <w:r w:rsidR="001E1274" w:rsidRPr="0089008C">
        <w:rPr>
          <w:rFonts w:cstheme="minorHAnsi"/>
          <w:sz w:val="24"/>
          <w:szCs w:val="24"/>
        </w:rPr>
        <w:t xml:space="preserve">when there was no gender group meeting and we decided to propose re-establishing the group </w:t>
      </w:r>
      <w:r w:rsidR="00AE61BA" w:rsidRPr="0089008C">
        <w:rPr>
          <w:rFonts w:cstheme="minorHAnsi"/>
          <w:sz w:val="24"/>
          <w:szCs w:val="24"/>
        </w:rPr>
        <w:t>the following year</w:t>
      </w:r>
      <w:r w:rsidR="00AE61BA">
        <w:rPr>
          <w:rFonts w:cstheme="minorHAnsi"/>
          <w:sz w:val="24"/>
          <w:szCs w:val="24"/>
        </w:rPr>
        <w:t xml:space="preserve"> </w:t>
      </w:r>
      <w:r w:rsidR="001E1274" w:rsidRPr="0089008C">
        <w:rPr>
          <w:rFonts w:cstheme="minorHAnsi"/>
          <w:sz w:val="24"/>
          <w:szCs w:val="24"/>
        </w:rPr>
        <w:t>on t</w:t>
      </w:r>
      <w:r w:rsidR="00AE61BA">
        <w:rPr>
          <w:rFonts w:cstheme="minorHAnsi"/>
          <w:sz w:val="24"/>
          <w:szCs w:val="24"/>
        </w:rPr>
        <w:t>he new lines laid down for SWGs</w:t>
      </w:r>
      <w:r w:rsidR="001E1274" w:rsidRPr="0089008C">
        <w:rPr>
          <w:rFonts w:cstheme="minorHAnsi"/>
          <w:sz w:val="24"/>
          <w:szCs w:val="24"/>
        </w:rPr>
        <w:t>. Thu</w:t>
      </w:r>
      <w:r w:rsidR="00327FDC">
        <w:rPr>
          <w:rFonts w:cstheme="minorHAnsi"/>
          <w:sz w:val="24"/>
          <w:szCs w:val="24"/>
        </w:rPr>
        <w:t>s at Hamburg we applied to form a new SWGG</w:t>
      </w:r>
      <w:r w:rsidR="001E1274" w:rsidRPr="0089008C">
        <w:rPr>
          <w:rFonts w:cstheme="minorHAnsi"/>
          <w:sz w:val="24"/>
          <w:szCs w:val="24"/>
        </w:rPr>
        <w:t xml:space="preserve"> </w:t>
      </w:r>
      <w:r w:rsidR="00B917EF" w:rsidRPr="0089008C">
        <w:rPr>
          <w:rFonts w:cstheme="minorHAnsi"/>
          <w:color w:val="FF0000"/>
          <w:sz w:val="24"/>
          <w:szCs w:val="24"/>
        </w:rPr>
        <w:t>[PPT</w:t>
      </w:r>
      <w:r w:rsidR="00E47ADA">
        <w:rPr>
          <w:rFonts w:cstheme="minorHAnsi"/>
          <w:color w:val="FF0000"/>
          <w:sz w:val="24"/>
          <w:szCs w:val="24"/>
        </w:rPr>
        <w:t>15</w:t>
      </w:r>
      <w:r w:rsidR="00B917EF">
        <w:rPr>
          <w:rFonts w:cstheme="minorHAnsi"/>
          <w:color w:val="FF0000"/>
          <w:sz w:val="24"/>
          <w:szCs w:val="24"/>
        </w:rPr>
        <w:t xml:space="preserve"> </w:t>
      </w:r>
      <w:r w:rsidR="0024014E" w:rsidRPr="0089008C">
        <w:rPr>
          <w:rFonts w:cstheme="minorHAnsi"/>
          <w:color w:val="FF0000"/>
          <w:sz w:val="24"/>
          <w:szCs w:val="24"/>
        </w:rPr>
        <w:t>Proposal to re-establish a SWG on Gender at Hamburg, 2007</w:t>
      </w:r>
      <w:r w:rsidR="00CB4579" w:rsidRPr="0089008C">
        <w:rPr>
          <w:rFonts w:cstheme="minorHAnsi"/>
          <w:color w:val="FF0000"/>
          <w:sz w:val="24"/>
          <w:szCs w:val="24"/>
        </w:rPr>
        <w:t>]</w:t>
      </w:r>
      <w:r w:rsidR="001E1274" w:rsidRPr="0089008C">
        <w:rPr>
          <w:rFonts w:cstheme="minorHAnsi"/>
          <w:color w:val="FF0000"/>
          <w:sz w:val="24"/>
          <w:szCs w:val="24"/>
        </w:rPr>
        <w:t xml:space="preserve">. </w:t>
      </w:r>
      <w:r w:rsidR="001E1274" w:rsidRPr="0089008C">
        <w:rPr>
          <w:rFonts w:cstheme="minorHAnsi"/>
          <w:sz w:val="24"/>
          <w:szCs w:val="24"/>
        </w:rPr>
        <w:t xml:space="preserve">We spoke of how we believed that since 1994 we had gradually </w:t>
      </w:r>
      <w:r w:rsidR="001E1274" w:rsidRPr="0089008C">
        <w:rPr>
          <w:rFonts w:cstheme="minorHAnsi"/>
          <w:sz w:val="24"/>
          <w:szCs w:val="24"/>
        </w:rPr>
        <w:lastRenderedPageBreak/>
        <w:t xml:space="preserve">integrated into ISCHE and made the concept of gender accepted as significant in </w:t>
      </w:r>
      <w:r w:rsidR="00327FDC">
        <w:rPr>
          <w:rFonts w:cstheme="minorHAnsi"/>
          <w:sz w:val="24"/>
          <w:szCs w:val="24"/>
        </w:rPr>
        <w:t xml:space="preserve">the </w:t>
      </w:r>
      <w:r w:rsidR="001E1274" w:rsidRPr="0089008C">
        <w:rPr>
          <w:rFonts w:cstheme="minorHAnsi"/>
          <w:sz w:val="24"/>
          <w:szCs w:val="24"/>
        </w:rPr>
        <w:t>history</w:t>
      </w:r>
      <w:r w:rsidR="00D72BA3" w:rsidRPr="0089008C">
        <w:rPr>
          <w:rFonts w:cstheme="minorHAnsi"/>
          <w:sz w:val="24"/>
          <w:szCs w:val="24"/>
        </w:rPr>
        <w:t xml:space="preserve"> of education. We</w:t>
      </w:r>
      <w:r w:rsidR="001E1274" w:rsidRPr="0089008C">
        <w:rPr>
          <w:rFonts w:cstheme="minorHAnsi"/>
          <w:sz w:val="24"/>
          <w:szCs w:val="24"/>
        </w:rPr>
        <w:t xml:space="preserve"> mentioned</w:t>
      </w:r>
      <w:r w:rsidR="00D72BA3" w:rsidRPr="0089008C">
        <w:rPr>
          <w:rFonts w:cstheme="minorHAnsi"/>
          <w:sz w:val="24"/>
          <w:szCs w:val="24"/>
        </w:rPr>
        <w:t xml:space="preserve"> our success particularly in representing ISCHE twice at CISH and how since we disbanded in 2005 we had monitored </w:t>
      </w:r>
      <w:r w:rsidR="0024014E" w:rsidRPr="0089008C">
        <w:rPr>
          <w:rFonts w:cstheme="minorHAnsi"/>
          <w:bCs/>
          <w:sz w:val="24"/>
          <w:szCs w:val="24"/>
        </w:rPr>
        <w:t>how gender progressed without the SWG</w:t>
      </w:r>
      <w:r w:rsidR="00FA1D1A">
        <w:rPr>
          <w:rFonts w:cstheme="minorHAnsi"/>
          <w:bCs/>
          <w:sz w:val="24"/>
          <w:szCs w:val="24"/>
        </w:rPr>
        <w:t>G</w:t>
      </w:r>
      <w:r w:rsidR="0024014E" w:rsidRPr="0089008C">
        <w:rPr>
          <w:rFonts w:cstheme="minorHAnsi"/>
          <w:bCs/>
          <w:sz w:val="24"/>
          <w:szCs w:val="24"/>
        </w:rPr>
        <w:t xml:space="preserve"> meetin</w:t>
      </w:r>
      <w:r w:rsidR="00D72BA3" w:rsidRPr="0089008C">
        <w:rPr>
          <w:rFonts w:cstheme="minorHAnsi"/>
          <w:bCs/>
          <w:sz w:val="24"/>
          <w:szCs w:val="24"/>
        </w:rPr>
        <w:t>g,</w:t>
      </w:r>
      <w:r w:rsidR="0024014E" w:rsidRPr="0089008C">
        <w:rPr>
          <w:rFonts w:cstheme="minorHAnsi"/>
          <w:b/>
          <w:bCs/>
          <w:i/>
          <w:sz w:val="24"/>
          <w:szCs w:val="24"/>
        </w:rPr>
        <w:t xml:space="preserve"> </w:t>
      </w:r>
      <w:r w:rsidR="00D72BA3" w:rsidRPr="0089008C">
        <w:rPr>
          <w:rFonts w:cstheme="minorHAnsi"/>
          <w:bCs/>
          <w:sz w:val="24"/>
          <w:szCs w:val="24"/>
        </w:rPr>
        <w:t xml:space="preserve">subsequently </w:t>
      </w:r>
      <w:r w:rsidR="0024014E" w:rsidRPr="0089008C">
        <w:rPr>
          <w:rFonts w:cstheme="minorHAnsi"/>
          <w:bCs/>
          <w:sz w:val="24"/>
          <w:szCs w:val="24"/>
        </w:rPr>
        <w:t>decid</w:t>
      </w:r>
      <w:r w:rsidR="00D72BA3" w:rsidRPr="0089008C">
        <w:rPr>
          <w:rFonts w:cstheme="minorHAnsi"/>
          <w:bCs/>
          <w:sz w:val="24"/>
          <w:szCs w:val="24"/>
        </w:rPr>
        <w:t>ing</w:t>
      </w:r>
      <w:r w:rsidR="0024014E" w:rsidRPr="0089008C">
        <w:rPr>
          <w:rFonts w:cstheme="minorHAnsi"/>
          <w:bCs/>
          <w:sz w:val="24"/>
          <w:szCs w:val="24"/>
        </w:rPr>
        <w:t xml:space="preserve"> to reconstitute the group under the new criteria for SWGs</w:t>
      </w:r>
      <w:r w:rsidR="00D72BA3" w:rsidRPr="0089008C">
        <w:rPr>
          <w:rFonts w:cstheme="minorHAnsi"/>
          <w:bCs/>
          <w:sz w:val="24"/>
          <w:szCs w:val="24"/>
        </w:rPr>
        <w:t>.</w:t>
      </w:r>
      <w:r w:rsidR="0024014E" w:rsidRPr="0089008C">
        <w:rPr>
          <w:rFonts w:cstheme="minorHAnsi"/>
          <w:bCs/>
          <w:sz w:val="24"/>
          <w:szCs w:val="24"/>
        </w:rPr>
        <w:t xml:space="preserve"> </w:t>
      </w:r>
      <w:r w:rsidR="00D72BA3" w:rsidRPr="0089008C">
        <w:rPr>
          <w:rFonts w:cstheme="minorHAnsi"/>
          <w:bCs/>
          <w:sz w:val="24"/>
          <w:szCs w:val="24"/>
        </w:rPr>
        <w:t xml:space="preserve"> We spelt out our aim</w:t>
      </w:r>
      <w:r w:rsidR="00AE61BA">
        <w:rPr>
          <w:rFonts w:cstheme="minorHAnsi"/>
          <w:bCs/>
          <w:sz w:val="24"/>
          <w:szCs w:val="24"/>
        </w:rPr>
        <w:t xml:space="preserve"> </w:t>
      </w:r>
      <w:r w:rsidR="00AE61BA" w:rsidRPr="00AE61BA">
        <w:rPr>
          <w:rFonts w:cstheme="minorHAnsi"/>
          <w:bCs/>
          <w:color w:val="FF0000"/>
          <w:sz w:val="24"/>
          <w:szCs w:val="24"/>
        </w:rPr>
        <w:t>[PPT</w:t>
      </w:r>
      <w:r w:rsidR="00FA1D1A">
        <w:rPr>
          <w:rFonts w:cstheme="minorHAnsi"/>
          <w:bCs/>
          <w:color w:val="FF0000"/>
          <w:sz w:val="24"/>
          <w:szCs w:val="24"/>
        </w:rPr>
        <w:t>16</w:t>
      </w:r>
      <w:r w:rsidR="00AE61BA" w:rsidRPr="00AE61BA">
        <w:rPr>
          <w:rFonts w:cstheme="minorHAnsi"/>
          <w:bCs/>
          <w:color w:val="FF0000"/>
          <w:sz w:val="24"/>
          <w:szCs w:val="24"/>
        </w:rPr>
        <w:t>]</w:t>
      </w:r>
      <w:r w:rsidR="00D72BA3" w:rsidRPr="0089008C">
        <w:rPr>
          <w:rFonts w:cstheme="minorHAnsi"/>
          <w:bCs/>
          <w:sz w:val="24"/>
          <w:szCs w:val="24"/>
        </w:rPr>
        <w:t xml:space="preserve"> of producing an edited book demonstrating at an international level the significance of gender as an organizing concept within history of education.  </w:t>
      </w:r>
      <w:r w:rsidR="00D145D7" w:rsidRPr="0089008C">
        <w:rPr>
          <w:rFonts w:cstheme="minorHAnsi"/>
          <w:sz w:val="24"/>
          <w:szCs w:val="24"/>
        </w:rPr>
        <w:t>All articles in the book were to be selected from papers given at ISCHE conferences in the years from 2008-10 with annual dis</w:t>
      </w:r>
      <w:r w:rsidR="00FA1D1A">
        <w:rPr>
          <w:rFonts w:cstheme="minorHAnsi"/>
          <w:sz w:val="24"/>
          <w:szCs w:val="24"/>
        </w:rPr>
        <w:t>cussions on progress at the SWGG meetings and g</w:t>
      </w:r>
      <w:r w:rsidR="00D145D7" w:rsidRPr="0089008C">
        <w:rPr>
          <w:rFonts w:cstheme="minorHAnsi"/>
          <w:sz w:val="24"/>
          <w:szCs w:val="24"/>
        </w:rPr>
        <w:t>ender panels specifically addressing the themes of the book to be organized for the CISH conference which it hoped would have</w:t>
      </w:r>
      <w:r w:rsidR="00183C60" w:rsidRPr="0089008C">
        <w:rPr>
          <w:rFonts w:cstheme="minorHAnsi"/>
          <w:bCs/>
          <w:sz w:val="24"/>
          <w:szCs w:val="24"/>
          <w:lang w:val="en-US"/>
        </w:rPr>
        <w:t xml:space="preserve"> the historical dimensions of gender and education </w:t>
      </w:r>
      <w:r w:rsidR="00D145D7" w:rsidRPr="0089008C">
        <w:rPr>
          <w:rFonts w:cstheme="minorHAnsi"/>
          <w:bCs/>
          <w:sz w:val="24"/>
          <w:szCs w:val="24"/>
          <w:lang w:val="en-US"/>
        </w:rPr>
        <w:t xml:space="preserve">as </w:t>
      </w:r>
      <w:r w:rsidR="00183C60" w:rsidRPr="0089008C">
        <w:rPr>
          <w:rFonts w:cstheme="minorHAnsi"/>
          <w:bCs/>
          <w:sz w:val="24"/>
          <w:szCs w:val="24"/>
          <w:lang w:val="en-US"/>
        </w:rPr>
        <w:t xml:space="preserve">a specialized theme. </w:t>
      </w:r>
    </w:p>
    <w:p w:rsidR="00D145D7" w:rsidRPr="0089008C" w:rsidRDefault="00D145D7" w:rsidP="00D42784">
      <w:pPr>
        <w:spacing w:after="0"/>
        <w:rPr>
          <w:rFonts w:cstheme="minorHAnsi"/>
          <w:bCs/>
          <w:sz w:val="24"/>
          <w:szCs w:val="24"/>
          <w:lang w:val="en-US"/>
        </w:rPr>
      </w:pPr>
    </w:p>
    <w:p w:rsidR="00436F34" w:rsidRPr="0089008C" w:rsidRDefault="00D145D7" w:rsidP="00D42784">
      <w:pPr>
        <w:pStyle w:val="NoSpacing"/>
        <w:spacing w:line="276" w:lineRule="auto"/>
        <w:rPr>
          <w:rFonts w:cstheme="minorHAnsi"/>
          <w:color w:val="FF0000"/>
          <w:sz w:val="24"/>
          <w:szCs w:val="24"/>
        </w:rPr>
      </w:pPr>
      <w:r w:rsidRPr="0089008C">
        <w:rPr>
          <w:rFonts w:cstheme="minorHAnsi"/>
          <w:bCs/>
          <w:sz w:val="24"/>
          <w:szCs w:val="24"/>
          <w:lang w:val="en-US"/>
        </w:rPr>
        <w:t>Our proposal was accepted and the SWG</w:t>
      </w:r>
      <w:r w:rsidR="00FA1D1A">
        <w:rPr>
          <w:rFonts w:cstheme="minorHAnsi"/>
          <w:bCs/>
          <w:sz w:val="24"/>
          <w:szCs w:val="24"/>
          <w:lang w:val="en-US"/>
        </w:rPr>
        <w:t>G</w:t>
      </w:r>
      <w:r w:rsidRPr="0089008C">
        <w:rPr>
          <w:rFonts w:cstheme="minorHAnsi"/>
          <w:bCs/>
          <w:sz w:val="24"/>
          <w:szCs w:val="24"/>
          <w:lang w:val="en-US"/>
        </w:rPr>
        <w:t xml:space="preserve"> reconstituted with Mineke van Essen and </w:t>
      </w:r>
      <w:proofErr w:type="gramStart"/>
      <w:r w:rsidR="008A0F53" w:rsidRPr="0089008C">
        <w:rPr>
          <w:rFonts w:cstheme="minorHAnsi"/>
          <w:bCs/>
          <w:sz w:val="24"/>
          <w:szCs w:val="24"/>
          <w:lang w:val="en-US"/>
        </w:rPr>
        <w:t>m</w:t>
      </w:r>
      <w:r w:rsidR="00FA1D1A">
        <w:rPr>
          <w:rFonts w:cstheme="minorHAnsi"/>
          <w:bCs/>
          <w:sz w:val="24"/>
          <w:szCs w:val="24"/>
          <w:lang w:val="en-US"/>
        </w:rPr>
        <w:t>yself</w:t>
      </w:r>
      <w:proofErr w:type="gramEnd"/>
      <w:r w:rsidRPr="0089008C">
        <w:rPr>
          <w:rFonts w:cstheme="minorHAnsi"/>
          <w:bCs/>
          <w:sz w:val="24"/>
          <w:szCs w:val="24"/>
          <w:lang w:val="en-US"/>
        </w:rPr>
        <w:t xml:space="preserve"> as coordinators. In 2010 Mineke resigned and was replaced by Christine Mayer, In 2011 I resigned and was replaced by </w:t>
      </w:r>
      <w:proofErr w:type="spellStart"/>
      <w:r w:rsidRPr="0089008C">
        <w:rPr>
          <w:rFonts w:cstheme="minorHAnsi"/>
          <w:bCs/>
          <w:sz w:val="24"/>
          <w:szCs w:val="24"/>
          <w:lang w:val="en-US"/>
        </w:rPr>
        <w:t>Adelina</w:t>
      </w:r>
      <w:proofErr w:type="spellEnd"/>
      <w:r w:rsidRPr="0089008C">
        <w:rPr>
          <w:rFonts w:cstheme="minorHAnsi"/>
          <w:bCs/>
          <w:sz w:val="24"/>
          <w:szCs w:val="24"/>
          <w:lang w:val="en-US"/>
        </w:rPr>
        <w:t xml:space="preserve"> Arredond</w:t>
      </w:r>
      <w:r w:rsidR="008A0F53" w:rsidRPr="0089008C">
        <w:rPr>
          <w:rFonts w:cstheme="minorHAnsi"/>
          <w:bCs/>
          <w:sz w:val="24"/>
          <w:szCs w:val="24"/>
          <w:lang w:val="en-US"/>
        </w:rPr>
        <w:t>o</w:t>
      </w:r>
      <w:r w:rsidRPr="0089008C">
        <w:rPr>
          <w:rFonts w:cstheme="minorHAnsi"/>
          <w:bCs/>
          <w:sz w:val="24"/>
          <w:szCs w:val="24"/>
          <w:lang w:val="en-US"/>
        </w:rPr>
        <w:t xml:space="preserve">. </w:t>
      </w:r>
      <w:r w:rsidR="00835A62" w:rsidRPr="0089008C">
        <w:rPr>
          <w:rFonts w:cstheme="minorHAnsi"/>
          <w:bCs/>
          <w:sz w:val="24"/>
          <w:szCs w:val="24"/>
          <w:lang w:val="en-US"/>
        </w:rPr>
        <w:t>Despite us making detailed plans in 2008 at Newark and calling for contributors, t</w:t>
      </w:r>
      <w:r w:rsidRPr="0089008C">
        <w:rPr>
          <w:rFonts w:cstheme="minorHAnsi"/>
          <w:bCs/>
          <w:sz w:val="24"/>
          <w:szCs w:val="24"/>
          <w:lang w:val="en-US"/>
        </w:rPr>
        <w:t xml:space="preserve">he book proved to be </w:t>
      </w:r>
      <w:r w:rsidR="00FA1D1A" w:rsidRPr="0089008C">
        <w:rPr>
          <w:rFonts w:cstheme="minorHAnsi"/>
          <w:bCs/>
          <w:sz w:val="24"/>
          <w:szCs w:val="24"/>
          <w:lang w:val="en-US"/>
        </w:rPr>
        <w:t>impossibility</w:t>
      </w:r>
      <w:r w:rsidRPr="0089008C">
        <w:rPr>
          <w:rFonts w:cstheme="minorHAnsi"/>
          <w:bCs/>
          <w:sz w:val="24"/>
          <w:szCs w:val="24"/>
          <w:lang w:val="en-US"/>
        </w:rPr>
        <w:t xml:space="preserve">, not least </w:t>
      </w:r>
      <w:r w:rsidR="008A0F53" w:rsidRPr="0089008C">
        <w:rPr>
          <w:rFonts w:cstheme="minorHAnsi"/>
          <w:bCs/>
          <w:sz w:val="24"/>
          <w:szCs w:val="24"/>
          <w:lang w:val="en-US"/>
        </w:rPr>
        <w:t xml:space="preserve">because of the pressure for researchers to publish in refereed journals rather than edited books, but </w:t>
      </w:r>
      <w:r w:rsidR="00387BF4" w:rsidRPr="0089008C">
        <w:rPr>
          <w:rFonts w:cstheme="minorHAnsi"/>
          <w:bCs/>
          <w:sz w:val="24"/>
          <w:szCs w:val="24"/>
          <w:lang w:val="en-US"/>
        </w:rPr>
        <w:t xml:space="preserve">we did achieve a presence at CISH in Amsterdam in 2010. We proposed a theme on Gender and Education </w:t>
      </w:r>
      <w:r w:rsidR="005D01D5" w:rsidRPr="0089008C">
        <w:rPr>
          <w:rFonts w:cstheme="minorHAnsi"/>
          <w:bCs/>
          <w:color w:val="FF0000"/>
          <w:sz w:val="24"/>
          <w:szCs w:val="24"/>
          <w:lang w:val="en-US"/>
        </w:rPr>
        <w:t>[PPT</w:t>
      </w:r>
      <w:r w:rsidR="00FA1D1A">
        <w:rPr>
          <w:rFonts w:cstheme="minorHAnsi"/>
          <w:bCs/>
          <w:color w:val="FF0000"/>
          <w:sz w:val="24"/>
          <w:szCs w:val="24"/>
          <w:lang w:val="en-US"/>
        </w:rPr>
        <w:t>17</w:t>
      </w:r>
      <w:r w:rsidR="005D01D5" w:rsidRPr="0089008C">
        <w:rPr>
          <w:rFonts w:cstheme="minorHAnsi"/>
          <w:bCs/>
          <w:color w:val="FF0000"/>
          <w:sz w:val="24"/>
          <w:szCs w:val="24"/>
          <w:lang w:val="en-US"/>
        </w:rPr>
        <w:t xml:space="preserve"> Proposal for a Gender and Education panel] </w:t>
      </w:r>
      <w:r w:rsidR="00387BF4" w:rsidRPr="0089008C">
        <w:rPr>
          <w:rFonts w:cstheme="minorHAnsi"/>
          <w:bCs/>
          <w:sz w:val="24"/>
          <w:szCs w:val="24"/>
          <w:lang w:val="en-US"/>
        </w:rPr>
        <w:t xml:space="preserve">and this was eventually accepted by the conference organizers as a theme for a joint panel with </w:t>
      </w:r>
      <w:r w:rsidR="00835A62" w:rsidRPr="0089008C">
        <w:rPr>
          <w:rFonts w:cstheme="minorHAnsi"/>
          <w:bCs/>
          <w:sz w:val="24"/>
          <w:szCs w:val="24"/>
          <w:lang w:val="en-US"/>
        </w:rPr>
        <w:t xml:space="preserve">the International Society for History Didactics, with Mineke and </w:t>
      </w:r>
      <w:proofErr w:type="gramStart"/>
      <w:r w:rsidR="00835A62" w:rsidRPr="0089008C">
        <w:rPr>
          <w:rFonts w:cstheme="minorHAnsi"/>
          <w:bCs/>
          <w:sz w:val="24"/>
          <w:szCs w:val="24"/>
          <w:lang w:val="en-US"/>
        </w:rPr>
        <w:t>m</w:t>
      </w:r>
      <w:r w:rsidR="00FA1D1A">
        <w:rPr>
          <w:rFonts w:cstheme="minorHAnsi"/>
          <w:bCs/>
          <w:sz w:val="24"/>
          <w:szCs w:val="24"/>
          <w:lang w:val="en-US"/>
        </w:rPr>
        <w:t>yself</w:t>
      </w:r>
      <w:proofErr w:type="gramEnd"/>
      <w:r w:rsidR="00835A62" w:rsidRPr="0089008C">
        <w:rPr>
          <w:rFonts w:cstheme="minorHAnsi"/>
          <w:bCs/>
          <w:sz w:val="24"/>
          <w:szCs w:val="24"/>
          <w:lang w:val="en-US"/>
        </w:rPr>
        <w:t xml:space="preserve"> chairing and </w:t>
      </w:r>
      <w:r w:rsidR="00436F34" w:rsidRPr="0089008C">
        <w:rPr>
          <w:rFonts w:cstheme="minorHAnsi"/>
          <w:bCs/>
          <w:sz w:val="24"/>
          <w:szCs w:val="24"/>
          <w:lang w:val="en-US"/>
        </w:rPr>
        <w:t>Professor</w:t>
      </w:r>
      <w:r w:rsidR="00835A62" w:rsidRPr="0089008C">
        <w:rPr>
          <w:rFonts w:cstheme="minorHAnsi"/>
          <w:bCs/>
          <w:sz w:val="24"/>
          <w:szCs w:val="24"/>
          <w:lang w:val="en-US"/>
        </w:rPr>
        <w:t xml:space="preserve"> </w:t>
      </w:r>
      <w:proofErr w:type="spellStart"/>
      <w:r w:rsidR="00835A62" w:rsidRPr="0089008C">
        <w:rPr>
          <w:rFonts w:cstheme="minorHAnsi"/>
          <w:bCs/>
          <w:sz w:val="24"/>
          <w:szCs w:val="24"/>
          <w:lang w:val="en-US"/>
        </w:rPr>
        <w:t>B</w:t>
      </w:r>
      <w:r w:rsidR="00436F34" w:rsidRPr="0089008C">
        <w:rPr>
          <w:rFonts w:cstheme="minorHAnsi"/>
          <w:bCs/>
          <w:sz w:val="24"/>
          <w:szCs w:val="24"/>
          <w:lang w:val="en-US"/>
        </w:rPr>
        <w:t>ä</w:t>
      </w:r>
      <w:r w:rsidR="00835A62" w:rsidRPr="0089008C">
        <w:rPr>
          <w:rFonts w:cstheme="minorHAnsi"/>
          <w:bCs/>
          <w:sz w:val="24"/>
          <w:szCs w:val="24"/>
          <w:lang w:val="en-US"/>
        </w:rPr>
        <w:t>rbel</w:t>
      </w:r>
      <w:proofErr w:type="spellEnd"/>
      <w:r w:rsidR="00835A62" w:rsidRPr="0089008C">
        <w:rPr>
          <w:rFonts w:cstheme="minorHAnsi"/>
          <w:bCs/>
          <w:sz w:val="24"/>
          <w:szCs w:val="24"/>
          <w:lang w:val="en-US"/>
        </w:rPr>
        <w:t xml:space="preserve"> K</w:t>
      </w:r>
      <w:r w:rsidR="00436F34" w:rsidRPr="0089008C">
        <w:rPr>
          <w:rFonts w:cstheme="minorHAnsi"/>
          <w:bCs/>
          <w:sz w:val="24"/>
          <w:szCs w:val="24"/>
          <w:lang w:val="en-US"/>
        </w:rPr>
        <w:t>u</w:t>
      </w:r>
      <w:r w:rsidR="00835A62" w:rsidRPr="0089008C">
        <w:rPr>
          <w:rFonts w:cstheme="minorHAnsi"/>
          <w:bCs/>
          <w:sz w:val="24"/>
          <w:szCs w:val="24"/>
          <w:lang w:val="en-US"/>
        </w:rPr>
        <w:t>hn as respondent. In the end it turned out that the speakers from history Didactics did not give papers</w:t>
      </w:r>
      <w:r w:rsidR="00436F34" w:rsidRPr="0089008C">
        <w:rPr>
          <w:rFonts w:cstheme="minorHAnsi"/>
          <w:bCs/>
          <w:sz w:val="24"/>
          <w:szCs w:val="24"/>
          <w:lang w:val="en-US"/>
        </w:rPr>
        <w:t xml:space="preserve">, although one </w:t>
      </w:r>
      <w:r w:rsidR="00436F34" w:rsidRPr="0089008C">
        <w:rPr>
          <w:rFonts w:cstheme="minorHAnsi"/>
          <w:sz w:val="24"/>
          <w:szCs w:val="24"/>
        </w:rPr>
        <w:t>gave a short extempore address</w:t>
      </w:r>
      <w:r w:rsidR="00835A62" w:rsidRPr="0089008C">
        <w:rPr>
          <w:rFonts w:cstheme="minorHAnsi"/>
          <w:bCs/>
          <w:sz w:val="24"/>
          <w:szCs w:val="24"/>
          <w:lang w:val="en-US"/>
        </w:rPr>
        <w:t xml:space="preserve"> and we had five speakers from the Gender group – James Albisetti, Joyce Goodman, Christine Mayer, Rebecca Rogers and Kay Whitehead.</w:t>
      </w:r>
      <w:r w:rsidR="0095497B">
        <w:rPr>
          <w:rFonts w:cstheme="minorHAnsi"/>
          <w:bCs/>
          <w:sz w:val="24"/>
          <w:szCs w:val="24"/>
          <w:lang w:val="en-US"/>
        </w:rPr>
        <w:t xml:space="preserve"> </w:t>
      </w:r>
      <w:r w:rsidR="0095497B" w:rsidRPr="0095497B">
        <w:rPr>
          <w:rFonts w:cstheme="minorHAnsi"/>
          <w:bCs/>
          <w:color w:val="FF0000"/>
          <w:sz w:val="24"/>
          <w:szCs w:val="24"/>
          <w:lang w:val="en-US"/>
        </w:rPr>
        <w:t>[PPT</w:t>
      </w:r>
      <w:r w:rsidR="00FA1D1A">
        <w:rPr>
          <w:rFonts w:cstheme="minorHAnsi"/>
          <w:bCs/>
          <w:color w:val="FF0000"/>
          <w:sz w:val="24"/>
          <w:szCs w:val="24"/>
          <w:lang w:val="en-US"/>
        </w:rPr>
        <w:t>18&amp;19</w:t>
      </w:r>
      <w:r w:rsidR="00436F34" w:rsidRPr="0089008C">
        <w:rPr>
          <w:rFonts w:cstheme="minorHAnsi"/>
          <w:bCs/>
          <w:sz w:val="24"/>
          <w:szCs w:val="24"/>
          <w:lang w:val="en-US"/>
        </w:rPr>
        <w:t xml:space="preserve"> From a very well received and attended session at CISH in 2010 we negotiated a </w:t>
      </w:r>
      <w:r w:rsidR="00436F34" w:rsidRPr="003F2512">
        <w:rPr>
          <w:rFonts w:cstheme="minorHAnsi"/>
          <w:sz w:val="24"/>
          <w:szCs w:val="24"/>
        </w:rPr>
        <w:t>themed issue</w:t>
      </w:r>
      <w:r w:rsidR="003F2512">
        <w:rPr>
          <w:rFonts w:cstheme="minorHAnsi"/>
          <w:color w:val="FF0000"/>
          <w:sz w:val="24"/>
          <w:szCs w:val="24"/>
        </w:rPr>
        <w:t xml:space="preserve"> </w:t>
      </w:r>
      <w:r w:rsidR="003F2512" w:rsidRPr="009263CA">
        <w:rPr>
          <w:rFonts w:cstheme="minorHAnsi"/>
          <w:sz w:val="24"/>
          <w:szCs w:val="24"/>
        </w:rPr>
        <w:t xml:space="preserve">of </w:t>
      </w:r>
      <w:r w:rsidR="003F2512" w:rsidRPr="009263CA">
        <w:rPr>
          <w:rFonts w:cstheme="minorHAnsi"/>
          <w:i/>
          <w:sz w:val="24"/>
          <w:szCs w:val="24"/>
        </w:rPr>
        <w:t>Paedagogica Historica</w:t>
      </w:r>
      <w:r w:rsidR="00B917EF">
        <w:rPr>
          <w:rFonts w:cstheme="minorHAnsi"/>
          <w:color w:val="FF0000"/>
          <w:sz w:val="24"/>
          <w:szCs w:val="24"/>
        </w:rPr>
        <w:t xml:space="preserve"> [PPT</w:t>
      </w:r>
      <w:r w:rsidR="003F2512">
        <w:rPr>
          <w:rFonts w:cstheme="minorHAnsi"/>
          <w:color w:val="FF0000"/>
          <w:sz w:val="24"/>
          <w:szCs w:val="24"/>
        </w:rPr>
        <w:t>20</w:t>
      </w:r>
      <w:r w:rsidR="00B917EF">
        <w:rPr>
          <w:rFonts w:cstheme="minorHAnsi"/>
          <w:color w:val="FF0000"/>
          <w:sz w:val="24"/>
          <w:szCs w:val="24"/>
        </w:rPr>
        <w:t>]</w:t>
      </w:r>
      <w:r w:rsidR="00436F34" w:rsidRPr="0089008C">
        <w:rPr>
          <w:rFonts w:cstheme="minorHAnsi"/>
          <w:color w:val="FF0000"/>
          <w:sz w:val="24"/>
          <w:szCs w:val="24"/>
        </w:rPr>
        <w:t xml:space="preserve"> </w:t>
      </w:r>
      <w:r w:rsidR="00436F34" w:rsidRPr="0089008C">
        <w:rPr>
          <w:rFonts w:cstheme="minorHAnsi"/>
          <w:sz w:val="24"/>
          <w:szCs w:val="24"/>
        </w:rPr>
        <w:t xml:space="preserve">with all of the speakers </w:t>
      </w:r>
      <w:r w:rsidR="003F2512">
        <w:rPr>
          <w:rFonts w:cstheme="minorHAnsi"/>
          <w:sz w:val="24"/>
          <w:szCs w:val="24"/>
        </w:rPr>
        <w:t xml:space="preserve">contributing </w:t>
      </w:r>
      <w:r w:rsidR="00436F34" w:rsidRPr="0089008C">
        <w:rPr>
          <w:rFonts w:cstheme="minorHAnsi"/>
          <w:sz w:val="24"/>
          <w:szCs w:val="24"/>
        </w:rPr>
        <w:t xml:space="preserve">except Christine who chose to publish separately. In our short preface to this Mineke and I as editors commented thus – </w:t>
      </w:r>
      <w:r w:rsidR="00436F34" w:rsidRPr="0089008C">
        <w:rPr>
          <w:rFonts w:cstheme="minorHAnsi"/>
          <w:color w:val="FF0000"/>
          <w:sz w:val="24"/>
          <w:szCs w:val="24"/>
        </w:rPr>
        <w:t>[PPT</w:t>
      </w:r>
      <w:r w:rsidR="009263CA">
        <w:rPr>
          <w:rFonts w:cstheme="minorHAnsi"/>
          <w:color w:val="FF0000"/>
          <w:sz w:val="24"/>
          <w:szCs w:val="24"/>
        </w:rPr>
        <w:t>21</w:t>
      </w:r>
      <w:r w:rsidR="00436F34" w:rsidRPr="0089008C">
        <w:rPr>
          <w:rFonts w:cstheme="minorHAnsi"/>
          <w:color w:val="FF0000"/>
          <w:sz w:val="24"/>
          <w:szCs w:val="24"/>
        </w:rPr>
        <w:t xml:space="preserve"> Mineke and Ruth]</w:t>
      </w:r>
      <w:r w:rsidR="003F2512" w:rsidRPr="009263CA">
        <w:rPr>
          <w:rStyle w:val="FootnoteReference"/>
          <w:rFonts w:cstheme="minorHAnsi"/>
          <w:sz w:val="24"/>
          <w:szCs w:val="24"/>
        </w:rPr>
        <w:footnoteReference w:id="16"/>
      </w:r>
      <w:r w:rsidR="00436F34" w:rsidRPr="009263CA">
        <w:rPr>
          <w:rFonts w:cstheme="minorHAnsi"/>
          <w:sz w:val="24"/>
          <w:szCs w:val="24"/>
        </w:rPr>
        <w:t xml:space="preserve"> </w:t>
      </w:r>
    </w:p>
    <w:p w:rsidR="00387BF4" w:rsidRPr="0089008C" w:rsidRDefault="00387BF4" w:rsidP="00D42784">
      <w:pPr>
        <w:spacing w:after="0"/>
        <w:rPr>
          <w:rFonts w:cstheme="minorHAnsi"/>
          <w:bCs/>
          <w:sz w:val="24"/>
          <w:szCs w:val="24"/>
          <w:lang w:val="en-US"/>
        </w:rPr>
      </w:pPr>
    </w:p>
    <w:p w:rsidR="00D022A9" w:rsidRPr="00785576" w:rsidRDefault="00981FCE" w:rsidP="00D022A9">
      <w:pPr>
        <w:pStyle w:val="NoSpacing"/>
        <w:spacing w:line="276" w:lineRule="auto"/>
        <w:rPr>
          <w:rFonts w:cstheme="minorHAnsi"/>
        </w:rPr>
      </w:pPr>
      <w:r w:rsidRPr="0089008C">
        <w:rPr>
          <w:rFonts w:cstheme="minorHAnsi"/>
          <w:bCs/>
          <w:sz w:val="24"/>
          <w:szCs w:val="24"/>
          <w:lang w:val="en-US"/>
        </w:rPr>
        <w:t>W</w:t>
      </w:r>
      <w:r w:rsidR="008A0F53" w:rsidRPr="0089008C">
        <w:rPr>
          <w:rFonts w:cstheme="minorHAnsi"/>
          <w:bCs/>
          <w:sz w:val="24"/>
          <w:szCs w:val="24"/>
          <w:lang w:val="en-US"/>
        </w:rPr>
        <w:t xml:space="preserve">e </w:t>
      </w:r>
      <w:r w:rsidR="00387BF4" w:rsidRPr="0089008C">
        <w:rPr>
          <w:rFonts w:cstheme="minorHAnsi"/>
          <w:bCs/>
          <w:sz w:val="24"/>
          <w:szCs w:val="24"/>
          <w:lang w:val="en-US"/>
        </w:rPr>
        <w:t xml:space="preserve">also </w:t>
      </w:r>
      <w:r w:rsidR="008A0F53" w:rsidRPr="0089008C">
        <w:rPr>
          <w:rFonts w:cstheme="minorHAnsi"/>
          <w:bCs/>
          <w:sz w:val="24"/>
          <w:szCs w:val="24"/>
          <w:lang w:val="en-US"/>
        </w:rPr>
        <w:t xml:space="preserve">succeeded in other ways. Our presence at conferences has increased as was shown at </w:t>
      </w:r>
      <w:r w:rsidR="00876CD2">
        <w:rPr>
          <w:rFonts w:cstheme="minorHAnsi"/>
          <w:bCs/>
          <w:sz w:val="24"/>
          <w:szCs w:val="24"/>
          <w:lang w:val="en-US"/>
        </w:rPr>
        <w:t xml:space="preserve">successively at </w:t>
      </w:r>
      <w:r w:rsidR="008A0F53" w:rsidRPr="0089008C">
        <w:rPr>
          <w:rFonts w:cstheme="minorHAnsi"/>
          <w:bCs/>
          <w:sz w:val="24"/>
          <w:szCs w:val="24"/>
          <w:lang w:val="en-US"/>
        </w:rPr>
        <w:t>Hamburg itself</w:t>
      </w:r>
      <w:r w:rsidR="00876CD2">
        <w:rPr>
          <w:rFonts w:cstheme="minorHAnsi"/>
          <w:bCs/>
          <w:sz w:val="24"/>
          <w:szCs w:val="24"/>
          <w:lang w:val="en-US"/>
        </w:rPr>
        <w:t>,</w:t>
      </w:r>
      <w:r w:rsidR="008A0F53" w:rsidRPr="0089008C">
        <w:rPr>
          <w:rFonts w:cstheme="minorHAnsi"/>
          <w:bCs/>
          <w:sz w:val="24"/>
          <w:szCs w:val="24"/>
          <w:lang w:val="en-US"/>
        </w:rPr>
        <w:t xml:space="preserve"> Newark</w:t>
      </w:r>
      <w:r w:rsidR="00876CD2">
        <w:rPr>
          <w:rFonts w:cstheme="minorHAnsi"/>
          <w:bCs/>
          <w:sz w:val="24"/>
          <w:szCs w:val="24"/>
          <w:lang w:val="en-US"/>
        </w:rPr>
        <w:t>,</w:t>
      </w:r>
      <w:r w:rsidR="008A0F53" w:rsidRPr="0089008C">
        <w:rPr>
          <w:rFonts w:cstheme="minorHAnsi"/>
          <w:bCs/>
          <w:sz w:val="24"/>
          <w:szCs w:val="24"/>
          <w:lang w:val="en-US"/>
        </w:rPr>
        <w:t xml:space="preserve"> Utrecht</w:t>
      </w:r>
      <w:r w:rsidR="0027097C">
        <w:rPr>
          <w:rFonts w:cstheme="minorHAnsi"/>
          <w:bCs/>
          <w:sz w:val="24"/>
          <w:szCs w:val="24"/>
          <w:lang w:val="en-US"/>
        </w:rPr>
        <w:t xml:space="preserve"> </w:t>
      </w:r>
      <w:r w:rsidR="00876CD2">
        <w:rPr>
          <w:rFonts w:cstheme="minorHAnsi"/>
          <w:bCs/>
          <w:sz w:val="24"/>
          <w:szCs w:val="24"/>
          <w:lang w:val="en-US"/>
        </w:rPr>
        <w:t>(</w:t>
      </w:r>
      <w:r w:rsidR="0027097C">
        <w:rPr>
          <w:rFonts w:cstheme="minorHAnsi"/>
          <w:bCs/>
          <w:sz w:val="24"/>
          <w:szCs w:val="24"/>
          <w:lang w:val="en-US"/>
        </w:rPr>
        <w:t xml:space="preserve">because of having cancer the only one I’ve missed), </w:t>
      </w:r>
      <w:r w:rsidR="008A0F53" w:rsidRPr="0089008C">
        <w:rPr>
          <w:rFonts w:cstheme="minorHAnsi"/>
          <w:bCs/>
          <w:sz w:val="24"/>
          <w:szCs w:val="24"/>
          <w:lang w:val="en-US"/>
        </w:rPr>
        <w:t>Amsterdam</w:t>
      </w:r>
      <w:r w:rsidR="00876CD2">
        <w:rPr>
          <w:rFonts w:cstheme="minorHAnsi"/>
          <w:bCs/>
          <w:sz w:val="24"/>
          <w:szCs w:val="24"/>
          <w:lang w:val="en-US"/>
        </w:rPr>
        <w:t>, including CISH</w:t>
      </w:r>
      <w:r w:rsidR="008A0F53" w:rsidRPr="0089008C">
        <w:rPr>
          <w:rFonts w:cstheme="minorHAnsi"/>
          <w:bCs/>
          <w:sz w:val="24"/>
          <w:szCs w:val="24"/>
          <w:lang w:val="en-US"/>
        </w:rPr>
        <w:t xml:space="preserve"> and </w:t>
      </w:r>
      <w:r w:rsidR="00296FDD" w:rsidRPr="0089008C">
        <w:rPr>
          <w:rFonts w:cstheme="minorHAnsi"/>
          <w:bCs/>
          <w:sz w:val="24"/>
          <w:szCs w:val="24"/>
          <w:lang w:val="en-US"/>
        </w:rPr>
        <w:t>Mexico</w:t>
      </w:r>
      <w:r w:rsidR="00296FDD">
        <w:rPr>
          <w:rFonts w:cstheme="minorHAnsi"/>
          <w:bCs/>
          <w:sz w:val="24"/>
          <w:szCs w:val="24"/>
          <w:lang w:val="en-US"/>
        </w:rPr>
        <w:t>.</w:t>
      </w:r>
      <w:r w:rsidR="00876CD2">
        <w:rPr>
          <w:rStyle w:val="FootnoteReference"/>
          <w:rFonts w:cstheme="minorHAnsi"/>
          <w:bCs/>
          <w:sz w:val="24"/>
          <w:szCs w:val="24"/>
          <w:lang w:val="en-US"/>
        </w:rPr>
        <w:footnoteReference w:id="17"/>
      </w:r>
      <w:r w:rsidRPr="0089008C">
        <w:rPr>
          <w:rFonts w:cstheme="minorHAnsi"/>
          <w:bCs/>
          <w:sz w:val="24"/>
          <w:szCs w:val="24"/>
          <w:lang w:val="en-US"/>
        </w:rPr>
        <w:t xml:space="preserve"> </w:t>
      </w:r>
      <w:r w:rsidR="00DB78DA">
        <w:rPr>
          <w:rFonts w:cstheme="minorHAnsi"/>
          <w:bCs/>
          <w:sz w:val="24"/>
          <w:szCs w:val="24"/>
          <w:lang w:val="en-US"/>
        </w:rPr>
        <w:t xml:space="preserve">In addition, there has been one </w:t>
      </w:r>
      <w:r w:rsidR="00DB78DA">
        <w:rPr>
          <w:rFonts w:cstheme="minorHAnsi"/>
          <w:bCs/>
          <w:sz w:val="24"/>
          <w:szCs w:val="24"/>
          <w:lang w:val="en-US"/>
        </w:rPr>
        <w:lastRenderedPageBreak/>
        <w:t xml:space="preserve">keynote on gender in </w:t>
      </w:r>
      <w:r w:rsidR="005E0357">
        <w:rPr>
          <w:rFonts w:cstheme="minorHAnsi"/>
          <w:bCs/>
          <w:sz w:val="24"/>
          <w:szCs w:val="24"/>
          <w:lang w:val="en-US"/>
        </w:rPr>
        <w:t xml:space="preserve">four </w:t>
      </w:r>
      <w:r w:rsidR="00DB78DA">
        <w:rPr>
          <w:rFonts w:cstheme="minorHAnsi"/>
          <w:bCs/>
          <w:sz w:val="24"/>
          <w:szCs w:val="24"/>
          <w:lang w:val="en-US"/>
        </w:rPr>
        <w:t xml:space="preserve">of the last five years, Joyce Goodman in Newark, </w:t>
      </w:r>
      <w:proofErr w:type="spellStart"/>
      <w:r w:rsidR="00DB78DA">
        <w:rPr>
          <w:rFonts w:cstheme="minorHAnsi"/>
          <w:bCs/>
          <w:sz w:val="24"/>
          <w:szCs w:val="24"/>
          <w:lang w:val="en-US"/>
        </w:rPr>
        <w:t>Th</w:t>
      </w:r>
      <w:r w:rsidR="005E0357">
        <w:rPr>
          <w:rFonts w:cstheme="minorHAnsi"/>
          <w:bCs/>
          <w:sz w:val="24"/>
          <w:szCs w:val="24"/>
          <w:lang w:val="en-US"/>
        </w:rPr>
        <w:t>é</w:t>
      </w:r>
      <w:r w:rsidR="00DB78DA">
        <w:rPr>
          <w:rFonts w:cstheme="minorHAnsi"/>
          <w:bCs/>
          <w:sz w:val="24"/>
          <w:szCs w:val="24"/>
          <w:lang w:val="en-US"/>
        </w:rPr>
        <w:t>r</w:t>
      </w:r>
      <w:r w:rsidR="005E0357">
        <w:rPr>
          <w:rFonts w:cstheme="minorHAnsi"/>
          <w:bCs/>
          <w:sz w:val="24"/>
          <w:szCs w:val="24"/>
          <w:lang w:val="en-US"/>
        </w:rPr>
        <w:t>è</w:t>
      </w:r>
      <w:r w:rsidR="00DB78DA">
        <w:rPr>
          <w:rFonts w:cstheme="minorHAnsi"/>
          <w:bCs/>
          <w:sz w:val="24"/>
          <w:szCs w:val="24"/>
          <w:lang w:val="en-US"/>
        </w:rPr>
        <w:t>se</w:t>
      </w:r>
      <w:proofErr w:type="spellEnd"/>
      <w:r w:rsidR="00DB78DA">
        <w:rPr>
          <w:rFonts w:cstheme="minorHAnsi"/>
          <w:bCs/>
          <w:sz w:val="24"/>
          <w:szCs w:val="24"/>
          <w:lang w:val="en-US"/>
        </w:rPr>
        <w:t xml:space="preserve"> Hamel in Utrecht, </w:t>
      </w:r>
      <w:r w:rsidR="005E0357">
        <w:rPr>
          <w:rFonts w:cstheme="minorHAnsi"/>
          <w:bCs/>
          <w:sz w:val="24"/>
          <w:szCs w:val="24"/>
          <w:lang w:val="en-US"/>
        </w:rPr>
        <w:t xml:space="preserve">myself in Mexico and Barnita </w:t>
      </w:r>
      <w:proofErr w:type="spellStart"/>
      <w:r w:rsidR="005E0357">
        <w:rPr>
          <w:rFonts w:cstheme="minorHAnsi"/>
          <w:bCs/>
          <w:sz w:val="24"/>
          <w:szCs w:val="24"/>
          <w:lang w:val="en-US"/>
        </w:rPr>
        <w:t>Bagchi</w:t>
      </w:r>
      <w:proofErr w:type="spellEnd"/>
      <w:r w:rsidR="005E0357">
        <w:rPr>
          <w:rFonts w:cstheme="minorHAnsi"/>
          <w:bCs/>
          <w:sz w:val="24"/>
          <w:szCs w:val="24"/>
          <w:lang w:val="en-US"/>
        </w:rPr>
        <w:t xml:space="preserve"> </w:t>
      </w:r>
      <w:r w:rsidR="00296FDD">
        <w:rPr>
          <w:rFonts w:cstheme="minorHAnsi"/>
          <w:bCs/>
          <w:sz w:val="24"/>
          <w:szCs w:val="24"/>
          <w:lang w:val="en-US"/>
        </w:rPr>
        <w:t>in 2012</w:t>
      </w:r>
      <w:r w:rsidR="005E0357">
        <w:rPr>
          <w:rFonts w:cstheme="minorHAnsi"/>
          <w:bCs/>
          <w:sz w:val="24"/>
          <w:szCs w:val="24"/>
          <w:lang w:val="en-US"/>
        </w:rPr>
        <w:t>.</w:t>
      </w:r>
      <w:r w:rsidR="0095497B">
        <w:rPr>
          <w:rStyle w:val="FootnoteReference"/>
          <w:rFonts w:cstheme="minorHAnsi"/>
          <w:bCs/>
          <w:sz w:val="24"/>
          <w:szCs w:val="24"/>
          <w:lang w:val="en-US"/>
        </w:rPr>
        <w:footnoteReference w:id="18"/>
      </w:r>
      <w:r w:rsidR="00D022A9">
        <w:rPr>
          <w:rFonts w:cstheme="minorHAnsi"/>
          <w:bCs/>
          <w:sz w:val="24"/>
          <w:szCs w:val="24"/>
          <w:lang w:val="en-US"/>
        </w:rPr>
        <w:t xml:space="preserve"> </w:t>
      </w:r>
      <w:r w:rsidR="00D022A9">
        <w:rPr>
          <w:rFonts w:cstheme="minorHAnsi"/>
          <w:sz w:val="24"/>
          <w:szCs w:val="24"/>
          <w:lang w:val="de-DE"/>
        </w:rPr>
        <w:t xml:space="preserve">Out of 13 prizes awarded to the best papers of new students at conferences since 1998, 6 have been on gender: </w:t>
      </w:r>
      <w:r w:rsidR="00D022A9" w:rsidRPr="00296FDD">
        <w:rPr>
          <w:rFonts w:cstheme="minorHAnsi"/>
        </w:rPr>
        <w:t>Tanya Fitzgerald in 1999 (</w:t>
      </w:r>
      <w:r w:rsidR="00296FDD">
        <w:rPr>
          <w:rFonts w:cstheme="minorHAnsi"/>
        </w:rPr>
        <w:t xml:space="preserve">published </w:t>
      </w:r>
      <w:r w:rsidR="00D022A9" w:rsidRPr="00296FDD">
        <w:rPr>
          <w:rFonts w:cstheme="minorHAnsi"/>
        </w:rPr>
        <w:t>2001); Stephanie Spencer in 2001 (2003); Christine de Bellaigue in 2002 (2004); Helen Proctor in 2005 (2007); Sian Roberts in 2007 (2009); Amy Palmer in  2009 (2011).</w:t>
      </w:r>
      <w:r w:rsidR="00D022A9" w:rsidRPr="00296FDD">
        <w:rPr>
          <w:rStyle w:val="FootnoteReference"/>
          <w:rFonts w:cstheme="minorHAnsi"/>
        </w:rPr>
        <w:footnoteReference w:id="19"/>
      </w:r>
      <w:r w:rsidR="00296FDD">
        <w:rPr>
          <w:rFonts w:cstheme="minorHAnsi"/>
        </w:rPr>
        <w:t xml:space="preserve"> </w:t>
      </w:r>
      <w:r w:rsidR="00761CD0" w:rsidRPr="00296FDD">
        <w:rPr>
          <w:rFonts w:cstheme="minorHAnsi"/>
          <w:color w:val="FF0000"/>
        </w:rPr>
        <w:t>[PPT</w:t>
      </w:r>
      <w:r w:rsidR="00296FDD">
        <w:rPr>
          <w:rFonts w:cstheme="minorHAnsi"/>
          <w:color w:val="FF0000"/>
        </w:rPr>
        <w:t>22</w:t>
      </w:r>
      <w:r w:rsidR="00761CD0" w:rsidRPr="00296FDD">
        <w:rPr>
          <w:rFonts w:cstheme="minorHAnsi"/>
          <w:color w:val="FF0000"/>
        </w:rPr>
        <w:t>]</w:t>
      </w:r>
      <w:r w:rsidR="00D022A9">
        <w:rPr>
          <w:rFonts w:cstheme="minorHAnsi"/>
        </w:rPr>
        <w:t xml:space="preserve">The field appears to be strong and growing stronger, especially with more papers coming from outside Europe and the ‘western’ world. </w:t>
      </w:r>
    </w:p>
    <w:p w:rsidR="00DB78DA" w:rsidRDefault="00DB78DA" w:rsidP="00D42784">
      <w:pPr>
        <w:spacing w:after="0"/>
        <w:rPr>
          <w:rFonts w:cstheme="minorHAnsi"/>
          <w:bCs/>
          <w:sz w:val="24"/>
          <w:szCs w:val="24"/>
          <w:lang w:val="en-US"/>
        </w:rPr>
      </w:pPr>
    </w:p>
    <w:p w:rsidR="0006668A" w:rsidRDefault="00DB78DA" w:rsidP="00D42784">
      <w:pPr>
        <w:pStyle w:val="NoSpacing"/>
        <w:spacing w:line="276" w:lineRule="auto"/>
        <w:rPr>
          <w:rFonts w:cstheme="minorHAnsi"/>
          <w:sz w:val="24"/>
          <w:szCs w:val="24"/>
        </w:rPr>
      </w:pPr>
      <w:r>
        <w:rPr>
          <w:rFonts w:cstheme="minorHAnsi"/>
          <w:bCs/>
          <w:sz w:val="24"/>
          <w:szCs w:val="24"/>
          <w:lang w:val="en-US"/>
        </w:rPr>
        <w:t xml:space="preserve">This </w:t>
      </w:r>
      <w:r w:rsidR="00D022A9">
        <w:rPr>
          <w:rFonts w:cstheme="minorHAnsi"/>
          <w:bCs/>
          <w:sz w:val="24"/>
          <w:szCs w:val="24"/>
          <w:lang w:val="en-US"/>
        </w:rPr>
        <w:t xml:space="preserve">expanding </w:t>
      </w:r>
      <w:r>
        <w:rPr>
          <w:rFonts w:cstheme="minorHAnsi"/>
          <w:bCs/>
          <w:sz w:val="24"/>
          <w:szCs w:val="24"/>
          <w:lang w:val="en-US"/>
        </w:rPr>
        <w:t>activity can be seen in the great increase of gender papers in</w:t>
      </w:r>
      <w:r w:rsidR="00981FCE" w:rsidRPr="0089008C">
        <w:rPr>
          <w:rFonts w:cstheme="minorHAnsi"/>
          <w:bCs/>
          <w:sz w:val="24"/>
          <w:szCs w:val="24"/>
          <w:lang w:val="en-US"/>
        </w:rPr>
        <w:t xml:space="preserve"> </w:t>
      </w:r>
      <w:r w:rsidR="00981FCE" w:rsidRPr="0089008C">
        <w:rPr>
          <w:rFonts w:cstheme="minorHAnsi"/>
          <w:bCs/>
          <w:i/>
          <w:sz w:val="24"/>
          <w:szCs w:val="24"/>
          <w:lang w:val="en-US"/>
        </w:rPr>
        <w:t>Paedagogica Historica</w:t>
      </w:r>
      <w:r w:rsidR="00981FCE" w:rsidRPr="0089008C">
        <w:rPr>
          <w:rFonts w:cstheme="minorHAnsi"/>
          <w:bCs/>
          <w:sz w:val="24"/>
          <w:szCs w:val="24"/>
          <w:lang w:val="en-US"/>
        </w:rPr>
        <w:t>.</w:t>
      </w:r>
      <w:r w:rsidR="004E1A5D">
        <w:rPr>
          <w:rFonts w:cstheme="minorHAnsi"/>
          <w:bCs/>
          <w:sz w:val="24"/>
          <w:szCs w:val="24"/>
          <w:lang w:val="en-US"/>
        </w:rPr>
        <w:t xml:space="preserve"> </w:t>
      </w:r>
      <w:r w:rsidR="00981FCE" w:rsidRPr="00296FDD">
        <w:rPr>
          <w:rFonts w:cstheme="minorHAnsi"/>
          <w:sz w:val="24"/>
          <w:szCs w:val="24"/>
        </w:rPr>
        <w:t xml:space="preserve">The themed issue </w:t>
      </w:r>
      <w:r w:rsidR="00876CD2" w:rsidRPr="00296FDD">
        <w:rPr>
          <w:rFonts w:cstheme="minorHAnsi"/>
          <w:sz w:val="24"/>
          <w:szCs w:val="24"/>
        </w:rPr>
        <w:t xml:space="preserve">[PPT] </w:t>
      </w:r>
      <w:r w:rsidR="00981FCE" w:rsidRPr="00296FDD">
        <w:rPr>
          <w:rFonts w:cstheme="minorHAnsi"/>
          <w:sz w:val="24"/>
          <w:szCs w:val="24"/>
        </w:rPr>
        <w:t>specifically on gender edited by Annemieke van Drenth, ‘Gender and Polit</w:t>
      </w:r>
      <w:r w:rsidR="00F861BD" w:rsidRPr="00296FDD">
        <w:rPr>
          <w:rFonts w:cstheme="minorHAnsi"/>
          <w:sz w:val="24"/>
          <w:szCs w:val="24"/>
        </w:rPr>
        <w:t>ics in the History of Education</w:t>
      </w:r>
      <w:r w:rsidR="00981FCE" w:rsidRPr="00296FDD">
        <w:rPr>
          <w:rFonts w:cstheme="minorHAnsi"/>
          <w:sz w:val="24"/>
          <w:szCs w:val="24"/>
        </w:rPr>
        <w:t xml:space="preserve"> </w:t>
      </w:r>
      <w:r w:rsidR="00F861BD" w:rsidRPr="00296FDD">
        <w:rPr>
          <w:rFonts w:cstheme="minorHAnsi"/>
          <w:sz w:val="24"/>
          <w:szCs w:val="24"/>
        </w:rPr>
        <w:t>in 2008</w:t>
      </w:r>
      <w:r w:rsidR="00981FCE" w:rsidRPr="00296FDD">
        <w:rPr>
          <w:rFonts w:cstheme="minorHAnsi"/>
          <w:sz w:val="24"/>
          <w:szCs w:val="24"/>
        </w:rPr>
        <w:t xml:space="preserve">, </w:t>
      </w:r>
      <w:r w:rsidR="00F861BD" w:rsidRPr="00296FDD">
        <w:rPr>
          <w:rStyle w:val="FootnoteReference"/>
          <w:rFonts w:cstheme="minorHAnsi"/>
          <w:sz w:val="24"/>
          <w:szCs w:val="24"/>
        </w:rPr>
        <w:footnoteReference w:id="20"/>
      </w:r>
      <w:r w:rsidR="00981FCE" w:rsidRPr="00296FDD">
        <w:rPr>
          <w:rFonts w:cstheme="minorHAnsi"/>
          <w:sz w:val="24"/>
          <w:szCs w:val="24"/>
        </w:rPr>
        <w:t>a collection of articles exploring the concepts of gender script, habitus and field, is an excellent example of this.</w:t>
      </w:r>
      <w:r w:rsidR="00F861BD">
        <w:rPr>
          <w:rFonts w:cstheme="minorHAnsi"/>
          <w:color w:val="FF0000"/>
          <w:sz w:val="24"/>
          <w:szCs w:val="24"/>
        </w:rPr>
        <w:t xml:space="preserve"> </w:t>
      </w:r>
      <w:r w:rsidR="00D42784" w:rsidRPr="00D42784">
        <w:rPr>
          <w:rFonts w:cstheme="minorHAnsi"/>
          <w:sz w:val="24"/>
          <w:szCs w:val="24"/>
        </w:rPr>
        <w:t>Some themes are obvious</w:t>
      </w:r>
      <w:r w:rsidR="00D42784">
        <w:rPr>
          <w:rFonts w:cstheme="minorHAnsi"/>
          <w:color w:val="FF0000"/>
          <w:sz w:val="24"/>
          <w:szCs w:val="24"/>
        </w:rPr>
        <w:t xml:space="preserve"> </w:t>
      </w:r>
      <w:r w:rsidR="00D42784">
        <w:rPr>
          <w:rFonts w:cstheme="minorHAnsi"/>
          <w:sz w:val="24"/>
          <w:szCs w:val="24"/>
        </w:rPr>
        <w:t xml:space="preserve">sites for gender discussion such as coeducation on which Jim Albisetti has spoken often </w:t>
      </w:r>
      <w:r w:rsidR="00785576">
        <w:rPr>
          <w:rFonts w:cstheme="minorHAnsi"/>
          <w:sz w:val="24"/>
          <w:szCs w:val="24"/>
        </w:rPr>
        <w:t>(</w:t>
      </w:r>
      <w:r w:rsidR="00876CD2">
        <w:rPr>
          <w:rFonts w:cstheme="minorHAnsi"/>
          <w:sz w:val="24"/>
          <w:szCs w:val="24"/>
        </w:rPr>
        <w:t xml:space="preserve">e.g. </w:t>
      </w:r>
      <w:r w:rsidR="00785576">
        <w:rPr>
          <w:rFonts w:cstheme="minorHAnsi"/>
          <w:sz w:val="24"/>
          <w:szCs w:val="24"/>
        </w:rPr>
        <w:t>1999 and 2001)</w:t>
      </w:r>
      <w:r w:rsidR="00D42784">
        <w:rPr>
          <w:rFonts w:cstheme="minorHAnsi"/>
          <w:sz w:val="24"/>
          <w:szCs w:val="24"/>
        </w:rPr>
        <w:t>, and p</w:t>
      </w:r>
      <w:r w:rsidR="00D42784" w:rsidRPr="0089008C">
        <w:rPr>
          <w:rFonts w:cstheme="minorHAnsi"/>
          <w:sz w:val="24"/>
          <w:szCs w:val="24"/>
        </w:rPr>
        <w:t xml:space="preserve">atriarchy </w:t>
      </w:r>
      <w:r w:rsidR="00D42784">
        <w:rPr>
          <w:rFonts w:cstheme="minorHAnsi"/>
          <w:sz w:val="24"/>
          <w:szCs w:val="24"/>
        </w:rPr>
        <w:t xml:space="preserve">on which, </w:t>
      </w:r>
      <w:r w:rsidR="00296FDD">
        <w:rPr>
          <w:rFonts w:cstheme="minorHAnsi"/>
          <w:sz w:val="24"/>
          <w:szCs w:val="24"/>
        </w:rPr>
        <w:t>for example</w:t>
      </w:r>
      <w:r w:rsidR="00D42784">
        <w:rPr>
          <w:rFonts w:cstheme="minorHAnsi"/>
          <w:sz w:val="24"/>
          <w:szCs w:val="24"/>
        </w:rPr>
        <w:t>,</w:t>
      </w:r>
      <w:r w:rsidR="00D42784" w:rsidRPr="0089008C">
        <w:rPr>
          <w:rFonts w:cstheme="minorHAnsi"/>
          <w:sz w:val="24"/>
          <w:szCs w:val="24"/>
        </w:rPr>
        <w:t xml:space="preserve"> </w:t>
      </w:r>
      <w:proofErr w:type="spellStart"/>
      <w:r w:rsidR="00D42784" w:rsidRPr="0089008C">
        <w:rPr>
          <w:rFonts w:cstheme="minorHAnsi"/>
          <w:sz w:val="24"/>
          <w:szCs w:val="24"/>
        </w:rPr>
        <w:t>Heikki</w:t>
      </w:r>
      <w:proofErr w:type="spellEnd"/>
      <w:r w:rsidR="00D42784" w:rsidRPr="0089008C">
        <w:rPr>
          <w:rFonts w:cstheme="minorHAnsi"/>
          <w:sz w:val="24"/>
          <w:szCs w:val="24"/>
        </w:rPr>
        <w:t xml:space="preserve"> </w:t>
      </w:r>
      <w:proofErr w:type="spellStart"/>
      <w:r w:rsidR="00D42784" w:rsidRPr="0089008C">
        <w:rPr>
          <w:rFonts w:cstheme="minorHAnsi"/>
          <w:sz w:val="24"/>
          <w:szCs w:val="24"/>
        </w:rPr>
        <w:t>Lempa</w:t>
      </w:r>
      <w:proofErr w:type="spellEnd"/>
      <w:r w:rsidR="00D42784" w:rsidRPr="0089008C">
        <w:rPr>
          <w:rFonts w:cstheme="minorHAnsi"/>
          <w:sz w:val="24"/>
          <w:szCs w:val="24"/>
        </w:rPr>
        <w:t xml:space="preserve"> </w:t>
      </w:r>
      <w:r w:rsidR="00D42784">
        <w:rPr>
          <w:rFonts w:cstheme="minorHAnsi"/>
          <w:sz w:val="24"/>
          <w:szCs w:val="24"/>
        </w:rPr>
        <w:t>was published in 2006</w:t>
      </w:r>
      <w:r w:rsidR="00D42784" w:rsidRPr="0089008C">
        <w:rPr>
          <w:rFonts w:cstheme="minorHAnsi"/>
          <w:sz w:val="24"/>
          <w:szCs w:val="24"/>
        </w:rPr>
        <w:t>.</w:t>
      </w:r>
      <w:r w:rsidR="0006668A">
        <w:rPr>
          <w:rStyle w:val="FootnoteReference"/>
          <w:rFonts w:cstheme="minorHAnsi"/>
          <w:sz w:val="24"/>
          <w:szCs w:val="24"/>
        </w:rPr>
        <w:footnoteReference w:id="21"/>
      </w:r>
    </w:p>
    <w:p w:rsidR="00D022A9" w:rsidRDefault="00D022A9" w:rsidP="00D42784">
      <w:pPr>
        <w:pStyle w:val="NoSpacing"/>
        <w:spacing w:line="276" w:lineRule="auto"/>
        <w:rPr>
          <w:rFonts w:cstheme="minorHAnsi"/>
          <w:sz w:val="24"/>
          <w:szCs w:val="24"/>
        </w:rPr>
      </w:pPr>
    </w:p>
    <w:p w:rsidR="00D022A9" w:rsidRDefault="00D022A9" w:rsidP="00D42784">
      <w:pPr>
        <w:pStyle w:val="NoSpacing"/>
        <w:spacing w:line="276" w:lineRule="auto"/>
        <w:rPr>
          <w:rFonts w:cstheme="minorHAnsi"/>
          <w:sz w:val="24"/>
          <w:szCs w:val="24"/>
          <w:u w:val="single"/>
        </w:rPr>
      </w:pPr>
      <w:r w:rsidRPr="00D022A9">
        <w:rPr>
          <w:rFonts w:cstheme="minorHAnsi"/>
          <w:sz w:val="24"/>
          <w:szCs w:val="24"/>
          <w:u w:val="single"/>
        </w:rPr>
        <w:t>Conclusions</w:t>
      </w:r>
    </w:p>
    <w:p w:rsidR="00D022A9" w:rsidRPr="00D022A9" w:rsidRDefault="00D022A9" w:rsidP="00D42784">
      <w:pPr>
        <w:pStyle w:val="NoSpacing"/>
        <w:spacing w:line="276" w:lineRule="auto"/>
        <w:rPr>
          <w:rFonts w:cstheme="minorHAnsi"/>
          <w:sz w:val="24"/>
          <w:szCs w:val="24"/>
          <w:u w:val="single"/>
        </w:rPr>
      </w:pPr>
    </w:p>
    <w:p w:rsidR="0006668A" w:rsidRPr="007102C0" w:rsidRDefault="00D022A9" w:rsidP="00876CD2">
      <w:pPr>
        <w:pStyle w:val="NoSpacing"/>
        <w:spacing w:line="276" w:lineRule="auto"/>
        <w:rPr>
          <w:rFonts w:cstheme="minorHAnsi"/>
          <w:color w:val="7030A0"/>
          <w:sz w:val="24"/>
          <w:szCs w:val="24"/>
        </w:rPr>
      </w:pPr>
      <w:r>
        <w:rPr>
          <w:rFonts w:cstheme="minorHAnsi"/>
          <w:sz w:val="24"/>
          <w:szCs w:val="24"/>
        </w:rPr>
        <w:t>So w</w:t>
      </w:r>
      <w:r w:rsidRPr="0089008C">
        <w:rPr>
          <w:rFonts w:cstheme="minorHAnsi"/>
          <w:sz w:val="24"/>
          <w:szCs w:val="24"/>
        </w:rPr>
        <w:t>hat has</w:t>
      </w:r>
      <w:r>
        <w:rPr>
          <w:rFonts w:cstheme="minorHAnsi"/>
          <w:sz w:val="24"/>
          <w:szCs w:val="24"/>
        </w:rPr>
        <w:t xml:space="preserve"> a</w:t>
      </w:r>
      <w:r w:rsidRPr="0089008C">
        <w:rPr>
          <w:rFonts w:cstheme="minorHAnsi"/>
          <w:sz w:val="24"/>
          <w:szCs w:val="24"/>
        </w:rPr>
        <w:t xml:space="preserve"> gender </w:t>
      </w:r>
      <w:r>
        <w:rPr>
          <w:rFonts w:cstheme="minorHAnsi"/>
          <w:sz w:val="24"/>
          <w:szCs w:val="24"/>
        </w:rPr>
        <w:t xml:space="preserve">dimension in history of education </w:t>
      </w:r>
      <w:r w:rsidRPr="0089008C">
        <w:rPr>
          <w:rFonts w:cstheme="minorHAnsi"/>
          <w:sz w:val="24"/>
          <w:szCs w:val="24"/>
        </w:rPr>
        <w:t>added</w:t>
      </w:r>
      <w:r>
        <w:rPr>
          <w:rFonts w:cstheme="minorHAnsi"/>
          <w:sz w:val="24"/>
          <w:szCs w:val="24"/>
        </w:rPr>
        <w:t xml:space="preserve"> or</w:t>
      </w:r>
      <w:r w:rsidRPr="0089008C">
        <w:rPr>
          <w:rFonts w:cstheme="minorHAnsi"/>
          <w:sz w:val="24"/>
          <w:szCs w:val="24"/>
        </w:rPr>
        <w:t xml:space="preserve"> revised</w:t>
      </w:r>
      <w:r w:rsidR="00876CD2">
        <w:rPr>
          <w:rFonts w:cstheme="minorHAnsi"/>
          <w:sz w:val="24"/>
          <w:szCs w:val="24"/>
        </w:rPr>
        <w:t xml:space="preserve">? </w:t>
      </w:r>
      <w:r w:rsidR="0006668A" w:rsidRPr="0089008C">
        <w:rPr>
          <w:rFonts w:cstheme="minorHAnsi"/>
          <w:sz w:val="24"/>
          <w:szCs w:val="24"/>
        </w:rPr>
        <w:t xml:space="preserve">Gender has become a much more accepted part of </w:t>
      </w:r>
      <w:r w:rsidR="0006668A">
        <w:rPr>
          <w:rFonts w:cstheme="minorHAnsi"/>
          <w:sz w:val="24"/>
          <w:szCs w:val="24"/>
        </w:rPr>
        <w:t xml:space="preserve">our </w:t>
      </w:r>
      <w:r w:rsidR="0006668A" w:rsidRPr="0089008C">
        <w:rPr>
          <w:rFonts w:cstheme="minorHAnsi"/>
          <w:sz w:val="24"/>
          <w:szCs w:val="24"/>
        </w:rPr>
        <w:t>historical discussion or, at least the acknowledgement of experiences of women in education has</w:t>
      </w:r>
      <w:r w:rsidR="0006668A">
        <w:rPr>
          <w:rFonts w:cstheme="minorHAnsi"/>
          <w:sz w:val="24"/>
          <w:szCs w:val="24"/>
        </w:rPr>
        <w:t>,</w:t>
      </w:r>
      <w:r w:rsidR="0006668A" w:rsidRPr="0089008C">
        <w:rPr>
          <w:rFonts w:cstheme="minorHAnsi"/>
          <w:sz w:val="24"/>
          <w:szCs w:val="24"/>
        </w:rPr>
        <w:t xml:space="preserve"> in conference and </w:t>
      </w:r>
      <w:r w:rsidR="0006668A" w:rsidRPr="0089008C">
        <w:rPr>
          <w:rFonts w:cstheme="minorHAnsi"/>
          <w:i/>
          <w:sz w:val="24"/>
          <w:szCs w:val="24"/>
        </w:rPr>
        <w:t xml:space="preserve">Paedagogica Historica </w:t>
      </w:r>
      <w:r w:rsidR="0006668A" w:rsidRPr="0089008C">
        <w:rPr>
          <w:rFonts w:cstheme="minorHAnsi"/>
          <w:sz w:val="24"/>
          <w:szCs w:val="24"/>
        </w:rPr>
        <w:t xml:space="preserve">papers. </w:t>
      </w:r>
      <w:r w:rsidR="00876CD2">
        <w:rPr>
          <w:rFonts w:cstheme="minorHAnsi"/>
          <w:sz w:val="24"/>
          <w:szCs w:val="24"/>
        </w:rPr>
        <w:t xml:space="preserve">As </w:t>
      </w:r>
      <w:r w:rsidR="0045531D" w:rsidRPr="00876CD2">
        <w:rPr>
          <w:rFonts w:cstheme="minorHAnsi"/>
          <w:sz w:val="24"/>
          <w:szCs w:val="24"/>
        </w:rPr>
        <w:t>Christine Mayer</w:t>
      </w:r>
      <w:r w:rsidR="00876CD2" w:rsidRPr="00876CD2">
        <w:rPr>
          <w:rFonts w:cstheme="minorHAnsi"/>
          <w:sz w:val="24"/>
          <w:szCs w:val="24"/>
        </w:rPr>
        <w:t xml:space="preserve"> noted in</w:t>
      </w:r>
      <w:r w:rsidR="00876CD2">
        <w:rPr>
          <w:rFonts w:cstheme="minorHAnsi"/>
          <w:color w:val="632423" w:themeColor="accent2" w:themeShade="80"/>
          <w:sz w:val="24"/>
          <w:szCs w:val="24"/>
        </w:rPr>
        <w:t xml:space="preserve"> </w:t>
      </w:r>
      <w:r w:rsidR="00876CD2" w:rsidRPr="00296FDD">
        <w:rPr>
          <w:rFonts w:cstheme="minorHAnsi"/>
          <w:sz w:val="24"/>
          <w:szCs w:val="24"/>
        </w:rPr>
        <w:t>1998</w:t>
      </w:r>
      <w:r w:rsidR="0045531D" w:rsidRPr="00296FDD">
        <w:rPr>
          <w:rFonts w:cstheme="minorHAnsi"/>
          <w:sz w:val="24"/>
          <w:szCs w:val="24"/>
        </w:rPr>
        <w:t>,</w:t>
      </w:r>
      <w:r w:rsidR="0045531D" w:rsidRPr="0089008C">
        <w:rPr>
          <w:rFonts w:cstheme="minorHAnsi"/>
          <w:color w:val="632423" w:themeColor="accent2" w:themeShade="80"/>
          <w:sz w:val="24"/>
          <w:szCs w:val="24"/>
        </w:rPr>
        <w:t xml:space="preserve"> </w:t>
      </w:r>
      <w:r w:rsidR="0045531D" w:rsidRPr="00876CD2">
        <w:rPr>
          <w:rFonts w:cstheme="minorHAnsi"/>
          <w:sz w:val="24"/>
          <w:szCs w:val="24"/>
        </w:rPr>
        <w:t xml:space="preserve">when “gender” is included </w:t>
      </w:r>
      <w:r w:rsidR="0045531D" w:rsidRPr="00876CD2">
        <w:rPr>
          <w:rFonts w:cstheme="minorHAnsi"/>
          <w:sz w:val="24"/>
          <w:szCs w:val="24"/>
        </w:rPr>
        <w:lastRenderedPageBreak/>
        <w:t xml:space="preserve">as a structural category in the frame of research, it leads to new perspectives regarding </w:t>
      </w:r>
      <w:r w:rsidR="00876CD2" w:rsidRPr="00876CD2">
        <w:rPr>
          <w:rFonts w:cstheme="minorHAnsi"/>
          <w:sz w:val="24"/>
          <w:szCs w:val="24"/>
        </w:rPr>
        <w:t xml:space="preserve">any </w:t>
      </w:r>
      <w:r w:rsidR="0045531D" w:rsidRPr="00876CD2">
        <w:rPr>
          <w:rFonts w:cstheme="minorHAnsi"/>
          <w:sz w:val="24"/>
          <w:szCs w:val="24"/>
        </w:rPr>
        <w:t>development.’</w:t>
      </w:r>
      <w:r w:rsidR="0045531D" w:rsidRPr="00876CD2">
        <w:rPr>
          <w:rStyle w:val="FootnoteReference"/>
          <w:rFonts w:cstheme="minorHAnsi"/>
          <w:sz w:val="24"/>
          <w:szCs w:val="24"/>
        </w:rPr>
        <w:footnoteReference w:id="22"/>
      </w:r>
      <w:r w:rsidR="0045531D" w:rsidRPr="00876CD2">
        <w:rPr>
          <w:rFonts w:cstheme="minorHAnsi"/>
          <w:sz w:val="24"/>
          <w:szCs w:val="24"/>
        </w:rPr>
        <w:t xml:space="preserve"> </w:t>
      </w:r>
      <w:r w:rsidR="0006668A" w:rsidRPr="00876CD2">
        <w:rPr>
          <w:rFonts w:cstheme="minorHAnsi"/>
          <w:sz w:val="24"/>
          <w:szCs w:val="24"/>
        </w:rPr>
        <w:t>Papers</w:t>
      </w:r>
      <w:r w:rsidR="0006668A">
        <w:rPr>
          <w:rFonts w:cstheme="minorHAnsi"/>
          <w:sz w:val="24"/>
          <w:szCs w:val="24"/>
        </w:rPr>
        <w:t xml:space="preserve"> given at ISCHE have become increasingly good at revealing the gender aspects of topics where this was </w:t>
      </w:r>
      <w:r w:rsidR="00042E84">
        <w:rPr>
          <w:rFonts w:cstheme="minorHAnsi"/>
          <w:sz w:val="24"/>
          <w:szCs w:val="24"/>
        </w:rPr>
        <w:t>previously mostly disregarded</w:t>
      </w:r>
      <w:r w:rsidR="00E515A1">
        <w:rPr>
          <w:rFonts w:cstheme="minorHAnsi"/>
          <w:sz w:val="24"/>
          <w:szCs w:val="24"/>
        </w:rPr>
        <w:t>, f</w:t>
      </w:r>
      <w:r w:rsidR="0006668A">
        <w:rPr>
          <w:rFonts w:cstheme="minorHAnsi"/>
          <w:sz w:val="24"/>
          <w:szCs w:val="24"/>
        </w:rPr>
        <w:t>or example, those of empire, imperialism, colonialism and racism. The s</w:t>
      </w:r>
      <w:r w:rsidR="0006668A" w:rsidRPr="0089008C">
        <w:rPr>
          <w:rFonts w:cstheme="minorHAnsi"/>
          <w:sz w:val="24"/>
          <w:szCs w:val="24"/>
        </w:rPr>
        <w:t xml:space="preserve">pecial issue </w:t>
      </w:r>
      <w:r w:rsidR="00042E84">
        <w:rPr>
          <w:rFonts w:cstheme="minorHAnsi"/>
          <w:sz w:val="24"/>
          <w:szCs w:val="24"/>
        </w:rPr>
        <w:t xml:space="preserve">of </w:t>
      </w:r>
      <w:r w:rsidR="00042E84" w:rsidRPr="00042E84">
        <w:rPr>
          <w:rFonts w:cstheme="minorHAnsi"/>
          <w:i/>
          <w:sz w:val="24"/>
          <w:szCs w:val="24"/>
        </w:rPr>
        <w:t>Paedagogica Historica</w:t>
      </w:r>
      <w:r w:rsidR="00042E84" w:rsidRPr="00042E84">
        <w:rPr>
          <w:rFonts w:cstheme="minorHAnsi"/>
          <w:sz w:val="24"/>
          <w:szCs w:val="24"/>
        </w:rPr>
        <w:t xml:space="preserve"> </w:t>
      </w:r>
      <w:r w:rsidR="0006668A" w:rsidRPr="0089008C">
        <w:rPr>
          <w:rFonts w:cstheme="minorHAnsi"/>
          <w:sz w:val="24"/>
          <w:szCs w:val="24"/>
        </w:rPr>
        <w:t xml:space="preserve">on </w:t>
      </w:r>
      <w:r w:rsidR="0006668A" w:rsidRPr="00042E84">
        <w:rPr>
          <w:rFonts w:cstheme="minorHAnsi"/>
          <w:sz w:val="24"/>
          <w:szCs w:val="24"/>
        </w:rPr>
        <w:t>‘“Empires Overseas” and “Empires at Home”</w:t>
      </w:r>
      <w:r w:rsidR="00042E84">
        <w:rPr>
          <w:rFonts w:cstheme="minorHAnsi"/>
          <w:sz w:val="24"/>
          <w:szCs w:val="24"/>
        </w:rPr>
        <w:t xml:space="preserve"> in </w:t>
      </w:r>
      <w:r w:rsidR="0006668A" w:rsidRPr="00042E84">
        <w:rPr>
          <w:rFonts w:cstheme="minorHAnsi"/>
          <w:sz w:val="24"/>
          <w:szCs w:val="24"/>
        </w:rPr>
        <w:t>2009</w:t>
      </w:r>
      <w:r w:rsidR="00042E84" w:rsidRPr="00042E84">
        <w:rPr>
          <w:rFonts w:cstheme="minorHAnsi"/>
          <w:color w:val="FF0000"/>
          <w:sz w:val="24"/>
          <w:szCs w:val="24"/>
        </w:rPr>
        <w:t>[PPT</w:t>
      </w:r>
      <w:r w:rsidR="00042E84">
        <w:rPr>
          <w:rFonts w:cstheme="minorHAnsi"/>
          <w:color w:val="FF0000"/>
          <w:sz w:val="24"/>
          <w:szCs w:val="24"/>
        </w:rPr>
        <w:t>24</w:t>
      </w:r>
      <w:r w:rsidR="00042E84" w:rsidRPr="00042E84">
        <w:rPr>
          <w:rFonts w:cstheme="minorHAnsi"/>
          <w:color w:val="FF0000"/>
          <w:sz w:val="24"/>
          <w:szCs w:val="24"/>
        </w:rPr>
        <w:t>]</w:t>
      </w:r>
      <w:r w:rsidR="00042E84" w:rsidRPr="00042E84">
        <w:rPr>
          <w:rFonts w:cstheme="minorHAnsi"/>
          <w:sz w:val="24"/>
          <w:szCs w:val="24"/>
        </w:rPr>
        <w:t xml:space="preserve"> </w:t>
      </w:r>
      <w:r w:rsidR="0006668A">
        <w:rPr>
          <w:rFonts w:cstheme="minorHAnsi"/>
          <w:sz w:val="24"/>
          <w:szCs w:val="24"/>
        </w:rPr>
        <w:t xml:space="preserve">had </w:t>
      </w:r>
      <w:r w:rsidR="0006668A" w:rsidRPr="0089008C">
        <w:rPr>
          <w:rFonts w:cstheme="minorHAnsi"/>
          <w:sz w:val="24"/>
          <w:szCs w:val="24"/>
        </w:rPr>
        <w:t xml:space="preserve">3 </w:t>
      </w:r>
      <w:r w:rsidR="0006668A">
        <w:rPr>
          <w:rFonts w:cstheme="minorHAnsi"/>
          <w:sz w:val="24"/>
          <w:szCs w:val="24"/>
        </w:rPr>
        <w:t xml:space="preserve">such </w:t>
      </w:r>
      <w:r w:rsidR="0006668A" w:rsidRPr="0089008C">
        <w:rPr>
          <w:rFonts w:cstheme="minorHAnsi"/>
          <w:sz w:val="24"/>
          <w:szCs w:val="24"/>
        </w:rPr>
        <w:t>articles out of 7</w:t>
      </w:r>
      <w:r w:rsidR="0006668A">
        <w:rPr>
          <w:rFonts w:cstheme="minorHAnsi"/>
          <w:sz w:val="24"/>
          <w:szCs w:val="24"/>
        </w:rPr>
        <w:t>.</w:t>
      </w:r>
      <w:r w:rsidR="00F861BD">
        <w:rPr>
          <w:rStyle w:val="FootnoteReference"/>
          <w:rFonts w:cstheme="minorHAnsi"/>
          <w:sz w:val="24"/>
          <w:szCs w:val="24"/>
        </w:rPr>
        <w:footnoteReference w:id="23"/>
      </w:r>
      <w:r w:rsidR="0006668A">
        <w:rPr>
          <w:rFonts w:cstheme="minorHAnsi"/>
          <w:sz w:val="24"/>
          <w:szCs w:val="24"/>
        </w:rPr>
        <w:t xml:space="preserve"> In </w:t>
      </w:r>
      <w:r w:rsidR="0006668A" w:rsidRPr="0089008C">
        <w:rPr>
          <w:rFonts w:cstheme="minorHAnsi"/>
          <w:i/>
          <w:sz w:val="24"/>
          <w:szCs w:val="24"/>
        </w:rPr>
        <w:t xml:space="preserve">PH </w:t>
      </w:r>
      <w:r w:rsidR="0006668A" w:rsidRPr="0089008C">
        <w:rPr>
          <w:rFonts w:cstheme="minorHAnsi"/>
          <w:sz w:val="24"/>
          <w:szCs w:val="24"/>
        </w:rPr>
        <w:t>40/6, 2004</w:t>
      </w:r>
      <w:r w:rsidR="0006668A">
        <w:rPr>
          <w:rFonts w:cstheme="minorHAnsi"/>
          <w:sz w:val="24"/>
          <w:szCs w:val="24"/>
        </w:rPr>
        <w:t xml:space="preserve"> </w:t>
      </w:r>
      <w:r w:rsidR="0006668A" w:rsidRPr="0089008C">
        <w:rPr>
          <w:rFonts w:cstheme="minorHAnsi"/>
          <w:sz w:val="24"/>
          <w:szCs w:val="24"/>
        </w:rPr>
        <w:t xml:space="preserve">Pierre </w:t>
      </w:r>
      <w:proofErr w:type="spellStart"/>
      <w:r w:rsidR="0006668A" w:rsidRPr="0089008C">
        <w:rPr>
          <w:rFonts w:cstheme="minorHAnsi"/>
          <w:sz w:val="24"/>
          <w:szCs w:val="24"/>
        </w:rPr>
        <w:t>Masandi</w:t>
      </w:r>
      <w:proofErr w:type="spellEnd"/>
      <w:r w:rsidR="0006668A" w:rsidRPr="0089008C">
        <w:rPr>
          <w:rFonts w:cstheme="minorHAnsi"/>
          <w:sz w:val="24"/>
          <w:szCs w:val="24"/>
        </w:rPr>
        <w:t xml:space="preserve"> </w:t>
      </w:r>
      <w:r w:rsidR="00042E84" w:rsidRPr="0089008C">
        <w:rPr>
          <w:rFonts w:cstheme="minorHAnsi"/>
          <w:sz w:val="24"/>
          <w:szCs w:val="24"/>
        </w:rPr>
        <w:t>illustrated how</w:t>
      </w:r>
      <w:r w:rsidR="0006668A" w:rsidRPr="0089008C">
        <w:rPr>
          <w:rFonts w:cstheme="minorHAnsi"/>
          <w:sz w:val="24"/>
          <w:szCs w:val="24"/>
        </w:rPr>
        <w:t xml:space="preserve"> </w:t>
      </w:r>
      <w:r w:rsidR="0006668A">
        <w:rPr>
          <w:rFonts w:cstheme="minorHAnsi"/>
          <w:sz w:val="24"/>
          <w:szCs w:val="24"/>
        </w:rPr>
        <w:t xml:space="preserve">the </w:t>
      </w:r>
      <w:r w:rsidR="0006668A" w:rsidRPr="0089008C">
        <w:rPr>
          <w:rFonts w:cstheme="minorHAnsi"/>
          <w:sz w:val="24"/>
          <w:szCs w:val="24"/>
        </w:rPr>
        <w:t>civilisation project and gendered attitudes could conflict as, for example, in Belgian Congo</w:t>
      </w:r>
      <w:r w:rsidR="0006668A">
        <w:rPr>
          <w:rFonts w:cstheme="minorHAnsi"/>
          <w:sz w:val="24"/>
          <w:szCs w:val="24"/>
        </w:rPr>
        <w:t>, while</w:t>
      </w:r>
      <w:r w:rsidR="0006668A" w:rsidRPr="0089008C">
        <w:rPr>
          <w:rFonts w:cstheme="minorHAnsi"/>
          <w:sz w:val="24"/>
          <w:szCs w:val="24"/>
        </w:rPr>
        <w:t xml:space="preserve"> Roland </w:t>
      </w:r>
      <w:proofErr w:type="spellStart"/>
      <w:r w:rsidR="0006668A" w:rsidRPr="0089008C">
        <w:rPr>
          <w:rFonts w:cstheme="minorHAnsi"/>
          <w:sz w:val="24"/>
          <w:szCs w:val="24"/>
        </w:rPr>
        <w:t>Sintos</w:t>
      </w:r>
      <w:proofErr w:type="spellEnd"/>
      <w:r w:rsidR="0006668A" w:rsidRPr="0089008C">
        <w:rPr>
          <w:rFonts w:cstheme="minorHAnsi"/>
          <w:sz w:val="24"/>
          <w:szCs w:val="24"/>
        </w:rPr>
        <w:t xml:space="preserve"> Coloma</w:t>
      </w:r>
      <w:r w:rsidR="0006668A">
        <w:rPr>
          <w:rFonts w:cstheme="minorHAnsi"/>
          <w:sz w:val="24"/>
          <w:szCs w:val="24"/>
        </w:rPr>
        <w:t xml:space="preserve"> in April this year examined colonial encounters of gend</w:t>
      </w:r>
      <w:r w:rsidR="005B37EE">
        <w:rPr>
          <w:rFonts w:cstheme="minorHAnsi"/>
          <w:sz w:val="24"/>
          <w:szCs w:val="24"/>
        </w:rPr>
        <w:t>e</w:t>
      </w:r>
      <w:r w:rsidR="0006668A">
        <w:rPr>
          <w:rFonts w:cstheme="minorHAnsi"/>
          <w:sz w:val="24"/>
          <w:szCs w:val="24"/>
        </w:rPr>
        <w:t>r, race and sexuality in the US and the Philippines in the early 1900s</w:t>
      </w:r>
      <w:r w:rsidR="005B37EE">
        <w:rPr>
          <w:rFonts w:cstheme="minorHAnsi"/>
          <w:sz w:val="24"/>
          <w:szCs w:val="24"/>
        </w:rPr>
        <w:t>.</w:t>
      </w:r>
      <w:r w:rsidR="005B37EE">
        <w:rPr>
          <w:rStyle w:val="FootnoteReference"/>
          <w:rFonts w:cstheme="minorHAnsi"/>
          <w:sz w:val="24"/>
          <w:szCs w:val="24"/>
        </w:rPr>
        <w:footnoteReference w:id="24"/>
      </w:r>
      <w:r w:rsidR="0006668A">
        <w:rPr>
          <w:rFonts w:cstheme="minorHAnsi"/>
          <w:sz w:val="24"/>
          <w:szCs w:val="24"/>
        </w:rPr>
        <w:t xml:space="preserve"> </w:t>
      </w:r>
    </w:p>
    <w:p w:rsidR="0006668A" w:rsidRDefault="0006668A" w:rsidP="00D42784">
      <w:pPr>
        <w:pStyle w:val="NoSpacing"/>
        <w:spacing w:line="276" w:lineRule="auto"/>
        <w:rPr>
          <w:rFonts w:cstheme="minorHAnsi"/>
          <w:sz w:val="24"/>
          <w:szCs w:val="24"/>
        </w:rPr>
      </w:pPr>
    </w:p>
    <w:p w:rsidR="0006668A" w:rsidRDefault="0006668A" w:rsidP="00D42784">
      <w:pPr>
        <w:pStyle w:val="NoSpacing"/>
        <w:spacing w:line="276" w:lineRule="auto"/>
        <w:rPr>
          <w:rFonts w:cstheme="minorHAnsi"/>
          <w:b/>
          <w:color w:val="632423" w:themeColor="accent2" w:themeShade="80"/>
        </w:rPr>
      </w:pPr>
      <w:r>
        <w:rPr>
          <w:rFonts w:cstheme="minorHAnsi"/>
          <w:sz w:val="24"/>
          <w:szCs w:val="24"/>
        </w:rPr>
        <w:t xml:space="preserve">Gender papers have been leaders in exploring methodologies such as biography, autobiography and networks. In </w:t>
      </w:r>
      <w:r w:rsidRPr="00042E84">
        <w:rPr>
          <w:rFonts w:cstheme="minorHAnsi"/>
          <w:sz w:val="24"/>
          <w:szCs w:val="24"/>
        </w:rPr>
        <w:t xml:space="preserve">Annemieke van </w:t>
      </w:r>
      <w:proofErr w:type="spellStart"/>
      <w:r w:rsidRPr="00042E84">
        <w:rPr>
          <w:rFonts w:cstheme="minorHAnsi"/>
          <w:sz w:val="24"/>
          <w:szCs w:val="24"/>
        </w:rPr>
        <w:t>Drendth’s</w:t>
      </w:r>
      <w:proofErr w:type="spellEnd"/>
      <w:r w:rsidRPr="00042E84">
        <w:rPr>
          <w:rFonts w:cstheme="minorHAnsi"/>
          <w:sz w:val="24"/>
          <w:szCs w:val="24"/>
        </w:rPr>
        <w:t xml:space="preserve"> special issue</w:t>
      </w:r>
      <w:r w:rsidR="005B37EE" w:rsidRPr="00042E84">
        <w:rPr>
          <w:rFonts w:cstheme="minorHAnsi"/>
          <w:sz w:val="24"/>
          <w:szCs w:val="24"/>
        </w:rPr>
        <w:t xml:space="preserve"> in 2008</w:t>
      </w:r>
      <w:r w:rsidRPr="00042E84">
        <w:rPr>
          <w:rFonts w:cstheme="minorHAnsi"/>
          <w:sz w:val="24"/>
          <w:szCs w:val="24"/>
        </w:rPr>
        <w:t>,</w:t>
      </w:r>
      <w:r w:rsidR="00E515A1" w:rsidRPr="00042E84">
        <w:rPr>
          <w:rFonts w:cstheme="minorHAnsi"/>
          <w:sz w:val="24"/>
          <w:szCs w:val="24"/>
        </w:rPr>
        <w:t xml:space="preserve"> [PPT</w:t>
      </w:r>
      <w:r w:rsidR="00042E84">
        <w:rPr>
          <w:rFonts w:cstheme="minorHAnsi"/>
          <w:sz w:val="24"/>
          <w:szCs w:val="24"/>
        </w:rPr>
        <w:t>25</w:t>
      </w:r>
      <w:r w:rsidR="00E515A1" w:rsidRPr="00042E84">
        <w:rPr>
          <w:rFonts w:cstheme="minorHAnsi"/>
          <w:sz w:val="24"/>
          <w:szCs w:val="24"/>
        </w:rPr>
        <w:t>]</w:t>
      </w:r>
      <w:r w:rsidRPr="00042E84">
        <w:rPr>
          <w:rFonts w:cstheme="minorHAnsi"/>
          <w:sz w:val="24"/>
          <w:szCs w:val="24"/>
        </w:rPr>
        <w:t xml:space="preserve"> mentioned above, a  biographical approach permeates the whole volume but the authors, Annemieke, Mineke van Essen, Jane Martin and Joyce Goodman portray women in the field not as heroines</w:t>
      </w:r>
      <w:r w:rsidR="005B37EE" w:rsidRPr="00042E84">
        <w:rPr>
          <w:rFonts w:cstheme="minorHAnsi"/>
          <w:sz w:val="24"/>
          <w:szCs w:val="24"/>
        </w:rPr>
        <w:t>.</w:t>
      </w:r>
      <w:r w:rsidR="005B37EE" w:rsidRPr="00042E84">
        <w:rPr>
          <w:rStyle w:val="FootnoteReference"/>
          <w:rFonts w:cstheme="minorHAnsi"/>
          <w:sz w:val="24"/>
          <w:szCs w:val="24"/>
        </w:rPr>
        <w:footnoteReference w:id="25"/>
      </w:r>
      <w:r w:rsidRPr="00042E84">
        <w:rPr>
          <w:rFonts w:cstheme="minorHAnsi"/>
          <w:sz w:val="24"/>
          <w:szCs w:val="24"/>
        </w:rPr>
        <w:t xml:space="preserve"> In line with the keynote of Kate </w:t>
      </w:r>
      <w:proofErr w:type="spellStart"/>
      <w:r w:rsidRPr="00042E84">
        <w:rPr>
          <w:rFonts w:cstheme="minorHAnsi"/>
          <w:sz w:val="24"/>
          <w:szCs w:val="24"/>
        </w:rPr>
        <w:t>Roumaniere</w:t>
      </w:r>
      <w:proofErr w:type="spellEnd"/>
      <w:r w:rsidRPr="00042E84">
        <w:rPr>
          <w:rFonts w:cstheme="minorHAnsi"/>
          <w:sz w:val="24"/>
          <w:szCs w:val="24"/>
        </w:rPr>
        <w:t xml:space="preserve"> on Margaret Haley in Birmingham in 2001,</w:t>
      </w:r>
      <w:r w:rsidR="00042E84" w:rsidRPr="0089008C">
        <w:rPr>
          <w:rStyle w:val="FootnoteReference"/>
          <w:rFonts w:cstheme="minorHAnsi"/>
          <w:sz w:val="24"/>
          <w:szCs w:val="24"/>
        </w:rPr>
        <w:footnoteReference w:id="26"/>
      </w:r>
      <w:r w:rsidR="00042E84" w:rsidRPr="0089008C">
        <w:rPr>
          <w:rFonts w:cstheme="minorHAnsi"/>
          <w:sz w:val="24"/>
          <w:szCs w:val="24"/>
        </w:rPr>
        <w:t xml:space="preserve"> </w:t>
      </w:r>
      <w:r w:rsidRPr="00042E84">
        <w:rPr>
          <w:rFonts w:cstheme="minorHAnsi"/>
          <w:sz w:val="24"/>
          <w:szCs w:val="24"/>
        </w:rPr>
        <w:t xml:space="preserve"> gender scholars remind us of the complexity of </w:t>
      </w:r>
      <w:proofErr w:type="spellStart"/>
      <w:r w:rsidRPr="00042E84">
        <w:rPr>
          <w:rFonts w:cstheme="minorHAnsi"/>
          <w:sz w:val="24"/>
          <w:szCs w:val="24"/>
        </w:rPr>
        <w:t>multipositionality</w:t>
      </w:r>
      <w:proofErr w:type="spellEnd"/>
      <w:r w:rsidRPr="00042E84">
        <w:rPr>
          <w:rFonts w:cstheme="minorHAnsi"/>
          <w:sz w:val="24"/>
          <w:szCs w:val="24"/>
        </w:rPr>
        <w:t>,</w:t>
      </w:r>
      <w:r>
        <w:rPr>
          <w:rFonts w:cstheme="minorHAnsi"/>
          <w:sz w:val="24"/>
          <w:szCs w:val="24"/>
        </w:rPr>
        <w:t xml:space="preserve"> with women hav</w:t>
      </w:r>
      <w:r w:rsidRPr="0089008C">
        <w:rPr>
          <w:rFonts w:cstheme="minorHAnsi"/>
          <w:sz w:val="24"/>
          <w:szCs w:val="24"/>
        </w:rPr>
        <w:t>ing overlapping and sometimes conflicting identit</w:t>
      </w:r>
      <w:r>
        <w:rPr>
          <w:rFonts w:cstheme="minorHAnsi"/>
          <w:sz w:val="24"/>
          <w:szCs w:val="24"/>
        </w:rPr>
        <w:t>i</w:t>
      </w:r>
      <w:r w:rsidRPr="0089008C">
        <w:rPr>
          <w:rFonts w:cstheme="minorHAnsi"/>
          <w:sz w:val="24"/>
          <w:szCs w:val="24"/>
        </w:rPr>
        <w:t>es.</w:t>
      </w:r>
      <w:r>
        <w:rPr>
          <w:rFonts w:cstheme="minorHAnsi"/>
          <w:sz w:val="24"/>
          <w:szCs w:val="24"/>
        </w:rPr>
        <w:t xml:space="preserve"> They use biography to talk not just of equal access to education but of the quality of it, to highlight the </w:t>
      </w:r>
      <w:r w:rsidRPr="0089008C">
        <w:rPr>
          <w:rFonts w:cstheme="minorHAnsi"/>
          <w:sz w:val="24"/>
          <w:szCs w:val="24"/>
        </w:rPr>
        <w:t>nuances</w:t>
      </w:r>
      <w:r>
        <w:rPr>
          <w:rFonts w:cstheme="minorHAnsi"/>
          <w:sz w:val="24"/>
          <w:szCs w:val="24"/>
        </w:rPr>
        <w:t xml:space="preserve"> of experience and</w:t>
      </w:r>
      <w:r w:rsidRPr="0089008C">
        <w:rPr>
          <w:rFonts w:cstheme="minorHAnsi"/>
          <w:sz w:val="24"/>
          <w:szCs w:val="24"/>
        </w:rPr>
        <w:t xml:space="preserve"> break down stereotypes</w:t>
      </w:r>
      <w:r>
        <w:rPr>
          <w:rFonts w:cstheme="minorHAnsi"/>
          <w:sz w:val="24"/>
          <w:szCs w:val="24"/>
        </w:rPr>
        <w:t xml:space="preserve"> and to demonstrate </w:t>
      </w:r>
      <w:r w:rsidRPr="0089008C">
        <w:rPr>
          <w:rFonts w:cstheme="minorHAnsi"/>
          <w:sz w:val="24"/>
          <w:szCs w:val="24"/>
        </w:rPr>
        <w:t xml:space="preserve">what policies and structures meant in practice. </w:t>
      </w:r>
      <w:r>
        <w:rPr>
          <w:rFonts w:cstheme="minorHAnsi"/>
          <w:sz w:val="24"/>
          <w:szCs w:val="24"/>
        </w:rPr>
        <w:t>In uncovering the e</w:t>
      </w:r>
      <w:r w:rsidRPr="0089008C">
        <w:rPr>
          <w:rFonts w:cstheme="minorHAnsi"/>
          <w:sz w:val="24"/>
          <w:szCs w:val="24"/>
        </w:rPr>
        <w:t xml:space="preserve">xperiences of </w:t>
      </w:r>
      <w:r>
        <w:rPr>
          <w:rFonts w:cstheme="minorHAnsi"/>
          <w:sz w:val="24"/>
          <w:szCs w:val="24"/>
        </w:rPr>
        <w:t xml:space="preserve">female </w:t>
      </w:r>
      <w:r w:rsidRPr="0089008C">
        <w:rPr>
          <w:rFonts w:cstheme="minorHAnsi"/>
          <w:sz w:val="24"/>
          <w:szCs w:val="24"/>
        </w:rPr>
        <w:t>pupils, students, teachers, principals</w:t>
      </w:r>
      <w:r>
        <w:rPr>
          <w:rFonts w:cstheme="minorHAnsi"/>
          <w:sz w:val="24"/>
          <w:szCs w:val="24"/>
        </w:rPr>
        <w:t xml:space="preserve"> and </w:t>
      </w:r>
      <w:r w:rsidRPr="0089008C">
        <w:rPr>
          <w:rFonts w:cstheme="minorHAnsi"/>
          <w:sz w:val="24"/>
          <w:szCs w:val="24"/>
        </w:rPr>
        <w:t xml:space="preserve"> administrators</w:t>
      </w:r>
      <w:r>
        <w:rPr>
          <w:rFonts w:cstheme="minorHAnsi"/>
          <w:sz w:val="24"/>
          <w:szCs w:val="24"/>
        </w:rPr>
        <w:t xml:space="preserve">, they </w:t>
      </w:r>
      <w:r w:rsidRPr="0089008C">
        <w:rPr>
          <w:rFonts w:cstheme="minorHAnsi"/>
          <w:sz w:val="24"/>
          <w:szCs w:val="24"/>
        </w:rPr>
        <w:t>reveal</w:t>
      </w:r>
      <w:r>
        <w:rPr>
          <w:rFonts w:cstheme="minorHAnsi"/>
          <w:sz w:val="24"/>
          <w:szCs w:val="24"/>
        </w:rPr>
        <w:t xml:space="preserve"> the full gendered context of education, often shedding welcome light on local history and </w:t>
      </w:r>
      <w:r w:rsidRPr="0089008C">
        <w:rPr>
          <w:rFonts w:cstheme="minorHAnsi"/>
          <w:sz w:val="24"/>
          <w:szCs w:val="24"/>
        </w:rPr>
        <w:t xml:space="preserve">working-class </w:t>
      </w:r>
      <w:r>
        <w:rPr>
          <w:rFonts w:cstheme="minorHAnsi"/>
          <w:sz w:val="24"/>
          <w:szCs w:val="24"/>
        </w:rPr>
        <w:t xml:space="preserve">experience </w:t>
      </w:r>
      <w:r w:rsidRPr="0089008C">
        <w:rPr>
          <w:rFonts w:cstheme="minorHAnsi"/>
          <w:sz w:val="24"/>
          <w:szCs w:val="24"/>
        </w:rPr>
        <w:t xml:space="preserve">too, although, because </w:t>
      </w:r>
      <w:r>
        <w:rPr>
          <w:rFonts w:cstheme="minorHAnsi"/>
          <w:sz w:val="24"/>
          <w:szCs w:val="24"/>
        </w:rPr>
        <w:t xml:space="preserve">the middles classes </w:t>
      </w:r>
      <w:r w:rsidRPr="0089008C">
        <w:rPr>
          <w:rFonts w:cstheme="minorHAnsi"/>
          <w:sz w:val="24"/>
          <w:szCs w:val="24"/>
        </w:rPr>
        <w:t xml:space="preserve">tend to leave more records, </w:t>
      </w:r>
      <w:r>
        <w:rPr>
          <w:rFonts w:cstheme="minorHAnsi"/>
          <w:sz w:val="24"/>
          <w:szCs w:val="24"/>
        </w:rPr>
        <w:t xml:space="preserve">such work </w:t>
      </w:r>
      <w:r w:rsidRPr="0089008C">
        <w:rPr>
          <w:rFonts w:cstheme="minorHAnsi"/>
          <w:sz w:val="24"/>
          <w:szCs w:val="24"/>
        </w:rPr>
        <w:t xml:space="preserve">can further skew studies towards literate and articulate.  </w:t>
      </w:r>
      <w:r>
        <w:rPr>
          <w:rFonts w:cstheme="minorHAnsi"/>
          <w:sz w:val="24"/>
          <w:szCs w:val="24"/>
        </w:rPr>
        <w:t xml:space="preserve">Christine Mayer, </w:t>
      </w:r>
      <w:r w:rsidR="007B6A16" w:rsidRPr="007B6A16">
        <w:rPr>
          <w:rFonts w:cstheme="minorHAnsi"/>
          <w:color w:val="FF0000"/>
          <w:sz w:val="24"/>
          <w:szCs w:val="24"/>
        </w:rPr>
        <w:t>[PPT</w:t>
      </w:r>
      <w:r w:rsidR="00042E84">
        <w:rPr>
          <w:rFonts w:cstheme="minorHAnsi"/>
          <w:color w:val="FF0000"/>
          <w:sz w:val="24"/>
          <w:szCs w:val="24"/>
        </w:rPr>
        <w:t>26</w:t>
      </w:r>
      <w:r w:rsidR="007B6A16" w:rsidRPr="007B6A16">
        <w:rPr>
          <w:rFonts w:cstheme="minorHAnsi"/>
          <w:color w:val="FF0000"/>
          <w:sz w:val="24"/>
          <w:szCs w:val="24"/>
        </w:rPr>
        <w:t>]</w:t>
      </w:r>
      <w:r w:rsidR="007B6A16">
        <w:rPr>
          <w:rFonts w:cstheme="minorHAnsi"/>
          <w:sz w:val="24"/>
          <w:szCs w:val="24"/>
        </w:rPr>
        <w:t xml:space="preserve"> </w:t>
      </w:r>
      <w:r>
        <w:rPr>
          <w:rFonts w:cstheme="minorHAnsi"/>
          <w:sz w:val="24"/>
          <w:szCs w:val="24"/>
        </w:rPr>
        <w:t>for example however, has long examined the education of poor girls in Hamburg</w:t>
      </w:r>
      <w:r>
        <w:rPr>
          <w:rFonts w:cstheme="minorHAnsi"/>
          <w:b/>
          <w:color w:val="632423" w:themeColor="accent2" w:themeShade="80"/>
        </w:rPr>
        <w:t>.</w:t>
      </w:r>
      <w:r>
        <w:rPr>
          <w:rStyle w:val="FootnoteReference"/>
          <w:rFonts w:cstheme="minorHAnsi"/>
          <w:b/>
          <w:color w:val="632423" w:themeColor="accent2" w:themeShade="80"/>
        </w:rPr>
        <w:footnoteReference w:id="27"/>
      </w:r>
      <w:r>
        <w:rPr>
          <w:rFonts w:cstheme="minorHAnsi"/>
          <w:b/>
          <w:color w:val="632423" w:themeColor="accent2" w:themeShade="80"/>
        </w:rPr>
        <w:t xml:space="preserve"> </w:t>
      </w:r>
      <w:r w:rsidRPr="00785576">
        <w:rPr>
          <w:rFonts w:cstheme="minorHAnsi"/>
        </w:rPr>
        <w:t>The i</w:t>
      </w:r>
      <w:r w:rsidRPr="0089008C">
        <w:rPr>
          <w:rFonts w:cstheme="minorHAnsi"/>
          <w:sz w:val="24"/>
          <w:szCs w:val="24"/>
        </w:rPr>
        <w:t xml:space="preserve">mportance of class and of occupation </w:t>
      </w:r>
      <w:r>
        <w:rPr>
          <w:rFonts w:cstheme="minorHAnsi"/>
          <w:sz w:val="24"/>
          <w:szCs w:val="24"/>
        </w:rPr>
        <w:t xml:space="preserve">has been increasingly recognised, </w:t>
      </w:r>
      <w:r w:rsidRPr="0089008C">
        <w:rPr>
          <w:rFonts w:cstheme="minorHAnsi"/>
          <w:sz w:val="24"/>
          <w:szCs w:val="24"/>
        </w:rPr>
        <w:t xml:space="preserve">e.g. </w:t>
      </w:r>
      <w:r>
        <w:rPr>
          <w:rFonts w:cstheme="minorHAnsi"/>
          <w:sz w:val="24"/>
          <w:szCs w:val="24"/>
        </w:rPr>
        <w:t xml:space="preserve">see </w:t>
      </w:r>
      <w:r w:rsidRPr="0089008C">
        <w:rPr>
          <w:rFonts w:cstheme="minorHAnsi"/>
          <w:sz w:val="24"/>
          <w:szCs w:val="24"/>
        </w:rPr>
        <w:t xml:space="preserve">Luis </w:t>
      </w:r>
      <w:proofErr w:type="spellStart"/>
      <w:r w:rsidRPr="0089008C">
        <w:rPr>
          <w:rFonts w:cstheme="minorHAnsi"/>
          <w:sz w:val="24"/>
          <w:szCs w:val="24"/>
        </w:rPr>
        <w:t>Correia</w:t>
      </w:r>
      <w:proofErr w:type="spellEnd"/>
      <w:r w:rsidRPr="0089008C">
        <w:rPr>
          <w:rFonts w:cstheme="minorHAnsi"/>
          <w:sz w:val="24"/>
          <w:szCs w:val="24"/>
        </w:rPr>
        <w:t xml:space="preserve"> on literacy in Porto in </w:t>
      </w:r>
      <w:r w:rsidR="00042E84" w:rsidRPr="0089008C">
        <w:rPr>
          <w:rFonts w:cstheme="minorHAnsi"/>
          <w:sz w:val="24"/>
          <w:szCs w:val="24"/>
        </w:rPr>
        <w:t>Portugal in</w:t>
      </w:r>
      <w:r w:rsidR="00042E84">
        <w:rPr>
          <w:rFonts w:cstheme="minorHAnsi"/>
          <w:sz w:val="24"/>
          <w:szCs w:val="24"/>
        </w:rPr>
        <w:t xml:space="preserve"> the late nineteenth century</w:t>
      </w:r>
      <w:r w:rsidRPr="0089008C">
        <w:rPr>
          <w:rFonts w:cstheme="minorHAnsi"/>
          <w:sz w:val="24"/>
          <w:szCs w:val="24"/>
        </w:rPr>
        <w:t>.</w:t>
      </w:r>
      <w:r w:rsidRPr="00042E84">
        <w:rPr>
          <w:rStyle w:val="FootnoteReference"/>
          <w:rFonts w:cstheme="minorHAnsi"/>
          <w:sz w:val="24"/>
          <w:szCs w:val="24"/>
        </w:rPr>
        <w:footnoteReference w:id="28"/>
      </w:r>
      <w:r w:rsidRPr="00042E84">
        <w:rPr>
          <w:rFonts w:cstheme="minorHAnsi"/>
          <w:sz w:val="24"/>
          <w:szCs w:val="24"/>
        </w:rPr>
        <w:t xml:space="preserve"> </w:t>
      </w:r>
    </w:p>
    <w:p w:rsidR="0006668A" w:rsidRDefault="0006668A" w:rsidP="00D42784">
      <w:pPr>
        <w:pStyle w:val="NoSpacing"/>
        <w:spacing w:line="276" w:lineRule="auto"/>
        <w:rPr>
          <w:rFonts w:cstheme="minorHAnsi"/>
          <w:sz w:val="24"/>
          <w:szCs w:val="24"/>
        </w:rPr>
      </w:pPr>
    </w:p>
    <w:p w:rsidR="0006668A" w:rsidRDefault="0006668A" w:rsidP="00785576">
      <w:pPr>
        <w:pStyle w:val="NoSpacing"/>
        <w:spacing w:line="276" w:lineRule="auto"/>
        <w:rPr>
          <w:rFonts w:cstheme="minorHAnsi"/>
          <w:sz w:val="24"/>
          <w:szCs w:val="24"/>
        </w:rPr>
      </w:pPr>
      <w:r w:rsidRPr="0089008C">
        <w:rPr>
          <w:rFonts w:cstheme="minorHAnsi"/>
          <w:sz w:val="24"/>
          <w:szCs w:val="24"/>
        </w:rPr>
        <w:t xml:space="preserve">Joyce </w:t>
      </w:r>
      <w:r>
        <w:rPr>
          <w:rFonts w:cstheme="minorHAnsi"/>
          <w:sz w:val="24"/>
          <w:szCs w:val="24"/>
        </w:rPr>
        <w:t xml:space="preserve">Goodman </w:t>
      </w:r>
      <w:r w:rsidR="00090FF4" w:rsidRPr="00090FF4">
        <w:rPr>
          <w:rFonts w:cstheme="minorHAnsi"/>
          <w:color w:val="FF0000"/>
          <w:sz w:val="24"/>
          <w:szCs w:val="24"/>
        </w:rPr>
        <w:t>[PPT</w:t>
      </w:r>
      <w:r w:rsidR="00042E84">
        <w:rPr>
          <w:rFonts w:cstheme="minorHAnsi"/>
          <w:color w:val="FF0000"/>
          <w:sz w:val="24"/>
          <w:szCs w:val="24"/>
        </w:rPr>
        <w:t>27</w:t>
      </w:r>
      <w:r w:rsidR="00090FF4" w:rsidRPr="00090FF4">
        <w:rPr>
          <w:rFonts w:cstheme="minorHAnsi"/>
          <w:color w:val="FF0000"/>
          <w:sz w:val="24"/>
          <w:szCs w:val="24"/>
        </w:rPr>
        <w:t>]</w:t>
      </w:r>
      <w:r w:rsidR="00090FF4">
        <w:rPr>
          <w:rFonts w:cstheme="minorHAnsi"/>
          <w:sz w:val="24"/>
          <w:szCs w:val="24"/>
        </w:rPr>
        <w:t xml:space="preserve"> </w:t>
      </w:r>
      <w:r w:rsidRPr="0089008C">
        <w:rPr>
          <w:rFonts w:cstheme="minorHAnsi"/>
          <w:sz w:val="24"/>
          <w:szCs w:val="24"/>
        </w:rPr>
        <w:t xml:space="preserve">Christa </w:t>
      </w:r>
      <w:proofErr w:type="spellStart"/>
      <w:r w:rsidRPr="0089008C">
        <w:rPr>
          <w:rFonts w:cstheme="minorHAnsi"/>
          <w:sz w:val="24"/>
          <w:szCs w:val="24"/>
        </w:rPr>
        <w:t>Kersting</w:t>
      </w:r>
      <w:proofErr w:type="spellEnd"/>
      <w:r w:rsidRPr="0089008C">
        <w:rPr>
          <w:rFonts w:cstheme="minorHAnsi"/>
          <w:sz w:val="24"/>
          <w:szCs w:val="24"/>
        </w:rPr>
        <w:t xml:space="preserve"> </w:t>
      </w:r>
      <w:r>
        <w:rPr>
          <w:rFonts w:cstheme="minorHAnsi"/>
          <w:sz w:val="24"/>
          <w:szCs w:val="24"/>
        </w:rPr>
        <w:t xml:space="preserve">and </w:t>
      </w:r>
      <w:proofErr w:type="spellStart"/>
      <w:r>
        <w:rPr>
          <w:rFonts w:cstheme="minorHAnsi"/>
          <w:sz w:val="24"/>
          <w:szCs w:val="24"/>
        </w:rPr>
        <w:t>Siân</w:t>
      </w:r>
      <w:proofErr w:type="spellEnd"/>
      <w:r>
        <w:rPr>
          <w:rFonts w:cstheme="minorHAnsi"/>
          <w:sz w:val="24"/>
          <w:szCs w:val="24"/>
        </w:rPr>
        <w:t xml:space="preserve"> Roberts</w:t>
      </w:r>
      <w:r>
        <w:rPr>
          <w:rFonts w:cstheme="minorHAnsi"/>
          <w:b/>
          <w:color w:val="632423" w:themeColor="accent2" w:themeShade="80"/>
        </w:rPr>
        <w:t xml:space="preserve"> </w:t>
      </w:r>
      <w:r>
        <w:rPr>
          <w:rFonts w:cstheme="minorHAnsi"/>
          <w:sz w:val="24"/>
          <w:szCs w:val="24"/>
        </w:rPr>
        <w:t xml:space="preserve">have been particularly good on discussing </w:t>
      </w:r>
      <w:r w:rsidRPr="0089008C">
        <w:rPr>
          <w:rFonts w:cstheme="minorHAnsi"/>
          <w:sz w:val="24"/>
          <w:szCs w:val="24"/>
        </w:rPr>
        <w:t>networks</w:t>
      </w:r>
      <w:r>
        <w:rPr>
          <w:rFonts w:cstheme="minorHAnsi"/>
          <w:sz w:val="24"/>
          <w:szCs w:val="24"/>
        </w:rPr>
        <w:t>, internationalism and transnationalism</w:t>
      </w:r>
      <w:r w:rsidRPr="0089008C">
        <w:rPr>
          <w:rFonts w:cstheme="minorHAnsi"/>
          <w:sz w:val="24"/>
          <w:szCs w:val="24"/>
        </w:rPr>
        <w:t xml:space="preserve"> and </w:t>
      </w:r>
      <w:r>
        <w:rPr>
          <w:rFonts w:cstheme="minorHAnsi"/>
          <w:sz w:val="24"/>
          <w:szCs w:val="24"/>
        </w:rPr>
        <w:t>introducing new ways of using sources.</w:t>
      </w:r>
      <w:r>
        <w:rPr>
          <w:rStyle w:val="FootnoteReference"/>
          <w:rFonts w:cstheme="minorHAnsi"/>
          <w:sz w:val="24"/>
          <w:szCs w:val="24"/>
        </w:rPr>
        <w:footnoteReference w:id="29"/>
      </w:r>
      <w:r>
        <w:rPr>
          <w:rFonts w:cstheme="minorHAnsi"/>
          <w:sz w:val="24"/>
          <w:szCs w:val="24"/>
        </w:rPr>
        <w:t xml:space="preserve"> </w:t>
      </w:r>
      <w:r>
        <w:rPr>
          <w:rFonts w:cstheme="minorHAnsi"/>
          <w:b/>
          <w:color w:val="632423" w:themeColor="accent2" w:themeShade="80"/>
        </w:rPr>
        <w:t xml:space="preserve"> </w:t>
      </w:r>
      <w:r w:rsidRPr="00785576">
        <w:rPr>
          <w:rFonts w:cstheme="minorHAnsi"/>
        </w:rPr>
        <w:t>So has</w:t>
      </w:r>
      <w:r>
        <w:rPr>
          <w:rFonts w:cstheme="minorHAnsi"/>
          <w:b/>
        </w:rPr>
        <w:t xml:space="preserve"> </w:t>
      </w:r>
      <w:r>
        <w:rPr>
          <w:rFonts w:cstheme="minorHAnsi"/>
          <w:sz w:val="24"/>
          <w:szCs w:val="24"/>
        </w:rPr>
        <w:t>Kay Whitehead,</w:t>
      </w:r>
      <w:r>
        <w:rPr>
          <w:rFonts w:cstheme="minorHAnsi"/>
        </w:rPr>
        <w:t xml:space="preserve"> who has also discussed gender in </w:t>
      </w:r>
      <w:r>
        <w:rPr>
          <w:rFonts w:cstheme="minorHAnsi"/>
          <w:sz w:val="24"/>
          <w:szCs w:val="24"/>
        </w:rPr>
        <w:t>topics which lend themselves readily to gender issues, for instance, both teachers and kindergarten education</w:t>
      </w:r>
      <w:r w:rsidR="00090FF4">
        <w:rPr>
          <w:rFonts w:cstheme="minorHAnsi"/>
          <w:sz w:val="24"/>
          <w:szCs w:val="24"/>
        </w:rPr>
        <w:t>.</w:t>
      </w:r>
      <w:r>
        <w:rPr>
          <w:rStyle w:val="FootnoteReference"/>
          <w:rFonts w:cstheme="minorHAnsi"/>
          <w:sz w:val="24"/>
          <w:szCs w:val="24"/>
        </w:rPr>
        <w:footnoteReference w:id="30"/>
      </w:r>
      <w:r>
        <w:rPr>
          <w:rFonts w:cstheme="minorHAnsi"/>
          <w:sz w:val="24"/>
          <w:szCs w:val="24"/>
        </w:rPr>
        <w:t xml:space="preserve"> </w:t>
      </w:r>
      <w:r w:rsidRPr="00DA6934">
        <w:rPr>
          <w:rFonts w:cstheme="minorHAnsi"/>
        </w:rPr>
        <w:t xml:space="preserve">Religion has been another field </w:t>
      </w:r>
      <w:r>
        <w:rPr>
          <w:rFonts w:cstheme="minorHAnsi"/>
        </w:rPr>
        <w:t xml:space="preserve">fruitful for gender studies as papers on Irish, Dutch and French education have particularly shown.  </w:t>
      </w:r>
      <w:r w:rsidRPr="00DA6934">
        <w:rPr>
          <w:rFonts w:cstheme="minorHAnsi"/>
          <w:i/>
        </w:rPr>
        <w:t>Paedagogica Historica</w:t>
      </w:r>
      <w:r>
        <w:rPr>
          <w:rFonts w:cstheme="minorHAnsi"/>
        </w:rPr>
        <w:t xml:space="preserve"> </w:t>
      </w:r>
      <w:r w:rsidR="00042E84">
        <w:rPr>
          <w:rFonts w:cstheme="minorHAnsi"/>
        </w:rPr>
        <w:t>2011</w:t>
      </w:r>
      <w:r>
        <w:rPr>
          <w:rFonts w:cstheme="minorHAnsi"/>
        </w:rPr>
        <w:t xml:space="preserve"> </w:t>
      </w:r>
      <w:r w:rsidR="00D049EA" w:rsidRPr="00D049EA">
        <w:rPr>
          <w:rFonts w:cstheme="minorHAnsi"/>
          <w:color w:val="FF0000"/>
        </w:rPr>
        <w:t>[PPT</w:t>
      </w:r>
      <w:r w:rsidR="003F29DB">
        <w:rPr>
          <w:rFonts w:cstheme="minorHAnsi"/>
          <w:color w:val="FF0000"/>
        </w:rPr>
        <w:t>28</w:t>
      </w:r>
      <w:r w:rsidR="00D049EA" w:rsidRPr="00D049EA">
        <w:rPr>
          <w:rFonts w:cstheme="minorHAnsi"/>
          <w:color w:val="FF0000"/>
        </w:rPr>
        <w:t>]</w:t>
      </w:r>
      <w:r w:rsidR="00D049EA">
        <w:rPr>
          <w:rFonts w:cstheme="minorHAnsi"/>
        </w:rPr>
        <w:t xml:space="preserve"> </w:t>
      </w:r>
      <w:r>
        <w:rPr>
          <w:rFonts w:cstheme="minorHAnsi"/>
        </w:rPr>
        <w:t xml:space="preserve">has one from Ireland by </w:t>
      </w:r>
      <w:r w:rsidRPr="0089008C">
        <w:rPr>
          <w:rFonts w:cstheme="minorHAnsi"/>
          <w:sz w:val="24"/>
          <w:szCs w:val="24"/>
        </w:rPr>
        <w:t>Deidre Raftery</w:t>
      </w:r>
      <w:r>
        <w:rPr>
          <w:rFonts w:cstheme="minorHAnsi"/>
          <w:sz w:val="24"/>
          <w:szCs w:val="24"/>
        </w:rPr>
        <w:t xml:space="preserve"> </w:t>
      </w:r>
      <w:r>
        <w:rPr>
          <w:rFonts w:cstheme="minorHAnsi"/>
        </w:rPr>
        <w:t xml:space="preserve">and one from Germany by </w:t>
      </w:r>
      <w:r>
        <w:rPr>
          <w:rFonts w:cstheme="minorHAnsi"/>
          <w:sz w:val="24"/>
          <w:szCs w:val="24"/>
        </w:rPr>
        <w:t xml:space="preserve">Andreas </w:t>
      </w:r>
      <w:proofErr w:type="spellStart"/>
      <w:r>
        <w:rPr>
          <w:rFonts w:cstheme="minorHAnsi"/>
          <w:sz w:val="24"/>
          <w:szCs w:val="24"/>
        </w:rPr>
        <w:t>Rutz</w:t>
      </w:r>
      <w:proofErr w:type="spellEnd"/>
      <w:r>
        <w:rPr>
          <w:rFonts w:cstheme="minorHAnsi"/>
          <w:sz w:val="24"/>
          <w:szCs w:val="24"/>
        </w:rPr>
        <w:t xml:space="preserve"> </w:t>
      </w:r>
      <w:r>
        <w:rPr>
          <w:rFonts w:cstheme="minorHAnsi"/>
        </w:rPr>
        <w:t>as well as two other gender articles.</w:t>
      </w:r>
      <w:r>
        <w:rPr>
          <w:rStyle w:val="FootnoteReference"/>
          <w:rFonts w:cstheme="minorHAnsi"/>
          <w:sz w:val="24"/>
          <w:szCs w:val="24"/>
        </w:rPr>
        <w:footnoteReference w:id="31"/>
      </w:r>
      <w:r>
        <w:rPr>
          <w:rFonts w:cstheme="minorHAnsi"/>
        </w:rPr>
        <w:t xml:space="preserve"> </w:t>
      </w:r>
      <w:proofErr w:type="spellStart"/>
      <w:r>
        <w:rPr>
          <w:rFonts w:cstheme="minorHAnsi"/>
          <w:sz w:val="24"/>
          <w:szCs w:val="24"/>
        </w:rPr>
        <w:t>Despina</w:t>
      </w:r>
      <w:proofErr w:type="spellEnd"/>
      <w:r>
        <w:rPr>
          <w:rFonts w:cstheme="minorHAnsi"/>
          <w:sz w:val="24"/>
          <w:szCs w:val="24"/>
        </w:rPr>
        <w:t xml:space="preserve"> </w:t>
      </w:r>
      <w:proofErr w:type="spellStart"/>
      <w:r>
        <w:rPr>
          <w:rFonts w:cstheme="minorHAnsi"/>
          <w:sz w:val="24"/>
          <w:szCs w:val="24"/>
        </w:rPr>
        <w:t>Stratigakos</w:t>
      </w:r>
      <w:proofErr w:type="spellEnd"/>
      <w:r>
        <w:rPr>
          <w:rFonts w:cstheme="minorHAnsi"/>
          <w:sz w:val="24"/>
          <w:szCs w:val="24"/>
        </w:rPr>
        <w:t xml:space="preserve">’ paper on women’s architecture education in Germany, using an </w:t>
      </w:r>
      <w:r w:rsidRPr="0089008C">
        <w:rPr>
          <w:rFonts w:cstheme="minorHAnsi"/>
          <w:sz w:val="24"/>
          <w:szCs w:val="24"/>
        </w:rPr>
        <w:t>individual story to put a face on government policy,</w:t>
      </w:r>
      <w:r>
        <w:rPr>
          <w:rFonts w:cstheme="minorHAnsi"/>
          <w:sz w:val="24"/>
          <w:szCs w:val="24"/>
        </w:rPr>
        <w:t xml:space="preserve"> is an interesting example of the many analyse</w:t>
      </w:r>
      <w:r w:rsidRPr="0089008C">
        <w:rPr>
          <w:rFonts w:cstheme="minorHAnsi"/>
          <w:sz w:val="24"/>
          <w:szCs w:val="24"/>
        </w:rPr>
        <w:t>s of how women gained access to male bastions</w:t>
      </w:r>
      <w:r>
        <w:rPr>
          <w:rFonts w:cstheme="minorHAnsi"/>
          <w:sz w:val="24"/>
          <w:szCs w:val="24"/>
        </w:rPr>
        <w:t xml:space="preserve"> and the </w:t>
      </w:r>
      <w:r w:rsidRPr="0089008C">
        <w:rPr>
          <w:rFonts w:cstheme="minorHAnsi"/>
          <w:sz w:val="24"/>
          <w:szCs w:val="24"/>
        </w:rPr>
        <w:t xml:space="preserve">human effort </w:t>
      </w:r>
      <w:r>
        <w:rPr>
          <w:rFonts w:cstheme="minorHAnsi"/>
          <w:sz w:val="24"/>
          <w:szCs w:val="24"/>
        </w:rPr>
        <w:t xml:space="preserve">involved </w:t>
      </w:r>
      <w:r w:rsidRPr="0089008C">
        <w:rPr>
          <w:rFonts w:cstheme="minorHAnsi"/>
          <w:sz w:val="24"/>
          <w:szCs w:val="24"/>
        </w:rPr>
        <w:t>behind ‘firsts’ i</w:t>
      </w:r>
      <w:r>
        <w:rPr>
          <w:rFonts w:cstheme="minorHAnsi"/>
          <w:sz w:val="24"/>
          <w:szCs w:val="24"/>
        </w:rPr>
        <w:t>n history</w:t>
      </w:r>
      <w:r w:rsidRPr="0089008C">
        <w:rPr>
          <w:rFonts w:cstheme="minorHAnsi"/>
          <w:sz w:val="24"/>
          <w:szCs w:val="24"/>
        </w:rPr>
        <w:t>.</w:t>
      </w:r>
      <w:r>
        <w:rPr>
          <w:rStyle w:val="FootnoteReference"/>
          <w:rFonts w:cstheme="minorHAnsi"/>
          <w:sz w:val="24"/>
          <w:szCs w:val="24"/>
        </w:rPr>
        <w:footnoteReference w:id="32"/>
      </w:r>
    </w:p>
    <w:p w:rsidR="0006668A" w:rsidRDefault="0006668A" w:rsidP="00785576">
      <w:pPr>
        <w:pStyle w:val="NoSpacing"/>
        <w:spacing w:line="276" w:lineRule="auto"/>
        <w:rPr>
          <w:rFonts w:cstheme="minorHAnsi"/>
          <w:sz w:val="24"/>
          <w:szCs w:val="24"/>
        </w:rPr>
      </w:pPr>
    </w:p>
    <w:p w:rsidR="0006668A" w:rsidRPr="00090FF4" w:rsidRDefault="0006668A" w:rsidP="00D42784">
      <w:pPr>
        <w:pStyle w:val="NoSpacing"/>
        <w:spacing w:line="276" w:lineRule="auto"/>
        <w:rPr>
          <w:rFonts w:cstheme="minorHAnsi"/>
          <w:color w:val="FF0000"/>
          <w:sz w:val="24"/>
          <w:szCs w:val="24"/>
        </w:rPr>
      </w:pPr>
      <w:r w:rsidRPr="0089008C">
        <w:rPr>
          <w:rFonts w:cstheme="minorHAnsi"/>
          <w:sz w:val="24"/>
          <w:szCs w:val="24"/>
        </w:rPr>
        <w:t>Some issues have been</w:t>
      </w:r>
      <w:r>
        <w:rPr>
          <w:rFonts w:cstheme="minorHAnsi"/>
          <w:sz w:val="24"/>
          <w:szCs w:val="24"/>
        </w:rPr>
        <w:t xml:space="preserve"> </w:t>
      </w:r>
      <w:r w:rsidRPr="0089008C">
        <w:rPr>
          <w:rFonts w:cstheme="minorHAnsi"/>
          <w:sz w:val="24"/>
          <w:szCs w:val="24"/>
        </w:rPr>
        <w:t xml:space="preserve">implicitly on gender issues: </w:t>
      </w:r>
      <w:r w:rsidR="003F29DB">
        <w:rPr>
          <w:rFonts w:cstheme="minorHAnsi"/>
          <w:sz w:val="24"/>
          <w:szCs w:val="24"/>
        </w:rPr>
        <w:t xml:space="preserve">for example, </w:t>
      </w:r>
      <w:r w:rsidR="00D022A9" w:rsidRPr="003F29DB">
        <w:rPr>
          <w:rFonts w:cstheme="minorHAnsi"/>
          <w:sz w:val="24"/>
          <w:szCs w:val="24"/>
        </w:rPr>
        <w:t>the special issue</w:t>
      </w:r>
      <w:r w:rsidR="00D022A9" w:rsidRPr="0089008C">
        <w:rPr>
          <w:rFonts w:cstheme="minorHAnsi"/>
          <w:color w:val="FF0000"/>
          <w:sz w:val="24"/>
          <w:szCs w:val="24"/>
        </w:rPr>
        <w:t xml:space="preserve"> </w:t>
      </w:r>
      <w:r w:rsidR="003E243D">
        <w:rPr>
          <w:rFonts w:cstheme="minorHAnsi"/>
          <w:color w:val="FF0000"/>
          <w:sz w:val="24"/>
          <w:szCs w:val="24"/>
        </w:rPr>
        <w:t>[PPT</w:t>
      </w:r>
      <w:r w:rsidR="003F29DB">
        <w:rPr>
          <w:rFonts w:cstheme="minorHAnsi"/>
          <w:color w:val="FF0000"/>
          <w:sz w:val="24"/>
          <w:szCs w:val="24"/>
        </w:rPr>
        <w:t>29</w:t>
      </w:r>
      <w:r w:rsidR="003E243D">
        <w:rPr>
          <w:rFonts w:cstheme="minorHAnsi"/>
          <w:color w:val="FF0000"/>
          <w:sz w:val="24"/>
          <w:szCs w:val="24"/>
        </w:rPr>
        <w:t xml:space="preserve">] </w:t>
      </w:r>
      <w:r w:rsidR="00D022A9" w:rsidRPr="00D022A9">
        <w:rPr>
          <w:rFonts w:cstheme="minorHAnsi"/>
          <w:sz w:val="24"/>
          <w:szCs w:val="24"/>
        </w:rPr>
        <w:t>on the role of domestic personnel in children’s upbringing and education edited by</w:t>
      </w:r>
      <w:r w:rsidR="00D022A9" w:rsidRPr="0089008C">
        <w:rPr>
          <w:rFonts w:cstheme="minorHAnsi"/>
          <w:color w:val="FF0000"/>
          <w:sz w:val="24"/>
          <w:szCs w:val="24"/>
        </w:rPr>
        <w:t xml:space="preserve"> </w:t>
      </w:r>
      <w:proofErr w:type="spellStart"/>
      <w:r w:rsidR="00D022A9" w:rsidRPr="003F29DB">
        <w:rPr>
          <w:rFonts w:cstheme="minorHAnsi"/>
          <w:sz w:val="24"/>
          <w:szCs w:val="24"/>
        </w:rPr>
        <w:t>Patrizia</w:t>
      </w:r>
      <w:proofErr w:type="spellEnd"/>
      <w:r w:rsidR="00D022A9" w:rsidRPr="003F29DB">
        <w:rPr>
          <w:rFonts w:cstheme="minorHAnsi"/>
          <w:sz w:val="24"/>
          <w:szCs w:val="24"/>
        </w:rPr>
        <w:t xml:space="preserve"> </w:t>
      </w:r>
      <w:proofErr w:type="spellStart"/>
      <w:r w:rsidR="00D022A9" w:rsidRPr="003F29DB">
        <w:rPr>
          <w:rFonts w:cstheme="minorHAnsi"/>
          <w:sz w:val="24"/>
          <w:szCs w:val="24"/>
        </w:rPr>
        <w:t>Delpiano</w:t>
      </w:r>
      <w:proofErr w:type="spellEnd"/>
      <w:r w:rsidR="00D022A9" w:rsidRPr="003F29DB">
        <w:rPr>
          <w:rFonts w:cstheme="minorHAnsi"/>
          <w:sz w:val="24"/>
          <w:szCs w:val="24"/>
        </w:rPr>
        <w:t xml:space="preserve"> and </w:t>
      </w:r>
      <w:proofErr w:type="spellStart"/>
      <w:r w:rsidR="00D022A9" w:rsidRPr="003F29DB">
        <w:rPr>
          <w:rFonts w:cstheme="minorHAnsi"/>
          <w:sz w:val="24"/>
          <w:szCs w:val="24"/>
        </w:rPr>
        <w:t>Raffaella</w:t>
      </w:r>
      <w:proofErr w:type="spellEnd"/>
      <w:r w:rsidR="00D022A9" w:rsidRPr="003F29DB">
        <w:rPr>
          <w:rFonts w:cstheme="minorHAnsi"/>
          <w:sz w:val="24"/>
          <w:szCs w:val="24"/>
        </w:rPr>
        <w:t xml:space="preserve"> </w:t>
      </w:r>
      <w:proofErr w:type="spellStart"/>
      <w:r w:rsidR="00D022A9" w:rsidRPr="003F29DB">
        <w:rPr>
          <w:rFonts w:cstheme="minorHAnsi"/>
          <w:sz w:val="24"/>
          <w:szCs w:val="24"/>
        </w:rPr>
        <w:t>Sarti</w:t>
      </w:r>
      <w:proofErr w:type="spellEnd"/>
      <w:r w:rsidR="00D022A9">
        <w:rPr>
          <w:rFonts w:cstheme="minorHAnsi"/>
          <w:color w:val="FF0000"/>
          <w:sz w:val="24"/>
          <w:szCs w:val="24"/>
        </w:rPr>
        <w:t xml:space="preserve"> </w:t>
      </w:r>
      <w:r w:rsidR="00D022A9" w:rsidRPr="00D022A9">
        <w:rPr>
          <w:rFonts w:cstheme="minorHAnsi"/>
          <w:color w:val="632423" w:themeColor="accent2" w:themeShade="80"/>
          <w:sz w:val="24"/>
          <w:szCs w:val="24"/>
        </w:rPr>
        <w:t xml:space="preserve">in </w:t>
      </w:r>
      <w:r w:rsidRPr="00D022A9">
        <w:rPr>
          <w:rFonts w:cstheme="minorHAnsi"/>
          <w:sz w:val="24"/>
          <w:szCs w:val="24"/>
        </w:rPr>
        <w:t>2007.</w:t>
      </w:r>
      <w:r w:rsidR="00FD7F3C" w:rsidRPr="00D022A9">
        <w:rPr>
          <w:rStyle w:val="FootnoteReference"/>
          <w:rFonts w:cstheme="minorHAnsi"/>
          <w:sz w:val="24"/>
          <w:szCs w:val="24"/>
        </w:rPr>
        <w:footnoteReference w:id="33"/>
      </w:r>
      <w:r w:rsidR="00D022A9" w:rsidRPr="00D022A9">
        <w:rPr>
          <w:rFonts w:cstheme="minorHAnsi"/>
          <w:sz w:val="24"/>
          <w:szCs w:val="24"/>
        </w:rPr>
        <w:t xml:space="preserve"> This i</w:t>
      </w:r>
      <w:r w:rsidRPr="00D022A9">
        <w:rPr>
          <w:rFonts w:cstheme="minorHAnsi"/>
          <w:sz w:val="24"/>
          <w:szCs w:val="24"/>
        </w:rPr>
        <w:t>ncludes</w:t>
      </w:r>
      <w:r w:rsidRPr="0089008C">
        <w:rPr>
          <w:rFonts w:cstheme="minorHAnsi"/>
          <w:sz w:val="24"/>
          <w:szCs w:val="24"/>
        </w:rPr>
        <w:t xml:space="preserve"> discussions on wet nurses, servants as educators, tutors and governesses, nursemaids and domestic workers and the whole issue of servants and the transmission of knowledge both ways. </w:t>
      </w:r>
      <w:r>
        <w:rPr>
          <w:rFonts w:cstheme="minorHAnsi"/>
          <w:sz w:val="24"/>
          <w:szCs w:val="24"/>
        </w:rPr>
        <w:t>Similarly, a</w:t>
      </w:r>
      <w:r w:rsidR="00D022A9">
        <w:rPr>
          <w:rFonts w:cstheme="minorHAnsi"/>
          <w:sz w:val="24"/>
          <w:szCs w:val="24"/>
        </w:rPr>
        <w:t xml:space="preserve"> special </w:t>
      </w:r>
      <w:r w:rsidRPr="0089008C">
        <w:rPr>
          <w:rFonts w:cstheme="minorHAnsi"/>
          <w:sz w:val="24"/>
          <w:szCs w:val="24"/>
        </w:rPr>
        <w:t>issue on</w:t>
      </w:r>
      <w:r w:rsidR="00D022A9">
        <w:rPr>
          <w:rFonts w:cstheme="minorHAnsi"/>
          <w:sz w:val="24"/>
          <w:szCs w:val="24"/>
        </w:rPr>
        <w:t xml:space="preserve"> the</w:t>
      </w:r>
      <w:r w:rsidRPr="0089008C">
        <w:rPr>
          <w:rFonts w:cstheme="minorHAnsi"/>
          <w:color w:val="FF0000"/>
          <w:sz w:val="24"/>
          <w:szCs w:val="24"/>
        </w:rPr>
        <w:t xml:space="preserve"> </w:t>
      </w:r>
      <w:r w:rsidRPr="003F29DB">
        <w:rPr>
          <w:rFonts w:cstheme="minorHAnsi"/>
          <w:sz w:val="24"/>
          <w:szCs w:val="24"/>
        </w:rPr>
        <w:t xml:space="preserve">‘Politics of Child </w:t>
      </w:r>
      <w:r w:rsidR="00D022A9" w:rsidRPr="003F29DB">
        <w:rPr>
          <w:rFonts w:cstheme="minorHAnsi"/>
          <w:sz w:val="24"/>
          <w:szCs w:val="24"/>
        </w:rPr>
        <w:t xml:space="preserve">Care in Historical Perspective’ </w:t>
      </w:r>
      <w:r w:rsidRPr="003F29DB">
        <w:rPr>
          <w:rFonts w:cstheme="minorHAnsi"/>
          <w:sz w:val="24"/>
          <w:szCs w:val="24"/>
        </w:rPr>
        <w:t xml:space="preserve">edited by </w:t>
      </w:r>
      <w:proofErr w:type="spellStart"/>
      <w:r w:rsidRPr="003F29DB">
        <w:rPr>
          <w:rFonts w:cstheme="minorHAnsi"/>
          <w:sz w:val="24"/>
          <w:szCs w:val="24"/>
        </w:rPr>
        <w:t>Véronique</w:t>
      </w:r>
      <w:proofErr w:type="spellEnd"/>
      <w:r w:rsidRPr="003F29DB">
        <w:rPr>
          <w:rFonts w:cstheme="minorHAnsi"/>
          <w:sz w:val="24"/>
          <w:szCs w:val="24"/>
        </w:rPr>
        <w:t xml:space="preserve"> </w:t>
      </w:r>
      <w:proofErr w:type="spellStart"/>
      <w:r w:rsidRPr="003F29DB">
        <w:rPr>
          <w:rFonts w:cstheme="minorHAnsi"/>
          <w:sz w:val="24"/>
          <w:szCs w:val="24"/>
        </w:rPr>
        <w:t>Pache</w:t>
      </w:r>
      <w:proofErr w:type="spellEnd"/>
      <w:r w:rsidRPr="003F29DB">
        <w:rPr>
          <w:rFonts w:cstheme="minorHAnsi"/>
          <w:sz w:val="24"/>
          <w:szCs w:val="24"/>
        </w:rPr>
        <w:t xml:space="preserve"> Huber and </w:t>
      </w:r>
      <w:proofErr w:type="spellStart"/>
      <w:r w:rsidRPr="003F29DB">
        <w:rPr>
          <w:rFonts w:cstheme="minorHAnsi"/>
          <w:sz w:val="24"/>
          <w:szCs w:val="24"/>
        </w:rPr>
        <w:t>Véronique</w:t>
      </w:r>
      <w:proofErr w:type="spellEnd"/>
      <w:r w:rsidRPr="003F29DB">
        <w:rPr>
          <w:rFonts w:cstheme="minorHAnsi"/>
          <w:sz w:val="24"/>
          <w:szCs w:val="24"/>
        </w:rPr>
        <w:t xml:space="preserve"> </w:t>
      </w:r>
      <w:proofErr w:type="spellStart"/>
      <w:r w:rsidRPr="003F29DB">
        <w:rPr>
          <w:rFonts w:cstheme="minorHAnsi"/>
          <w:sz w:val="24"/>
          <w:szCs w:val="24"/>
        </w:rPr>
        <w:t>Dasen</w:t>
      </w:r>
      <w:proofErr w:type="spellEnd"/>
      <w:r w:rsidRPr="003F29DB">
        <w:rPr>
          <w:rFonts w:cstheme="minorHAnsi"/>
          <w:sz w:val="24"/>
          <w:szCs w:val="24"/>
        </w:rPr>
        <w:t>,</w:t>
      </w:r>
      <w:r w:rsidR="003F29DB">
        <w:rPr>
          <w:rFonts w:cstheme="minorHAnsi"/>
          <w:sz w:val="24"/>
          <w:szCs w:val="24"/>
        </w:rPr>
        <w:t xml:space="preserve"> has </w:t>
      </w:r>
      <w:r w:rsidRPr="003F29DB">
        <w:rPr>
          <w:rFonts w:cstheme="minorHAnsi"/>
          <w:sz w:val="24"/>
          <w:szCs w:val="24"/>
        </w:rPr>
        <w:t>23 articles in which gender</w:t>
      </w:r>
      <w:r w:rsidR="003F29DB">
        <w:rPr>
          <w:rFonts w:cstheme="minorHAnsi"/>
          <w:sz w:val="24"/>
          <w:szCs w:val="24"/>
        </w:rPr>
        <w:t xml:space="preserve"> is</w:t>
      </w:r>
      <w:r w:rsidRPr="003F29DB">
        <w:rPr>
          <w:rFonts w:cstheme="minorHAnsi"/>
          <w:sz w:val="24"/>
          <w:szCs w:val="24"/>
        </w:rPr>
        <w:t xml:space="preserve"> implicit throughout.</w:t>
      </w:r>
      <w:r w:rsidR="00D022A9" w:rsidRPr="003F29DB">
        <w:rPr>
          <w:rStyle w:val="FootnoteReference"/>
          <w:rFonts w:cstheme="minorHAnsi"/>
          <w:sz w:val="24"/>
          <w:szCs w:val="24"/>
        </w:rPr>
        <w:footnoteReference w:id="34"/>
      </w:r>
      <w:r w:rsidR="00D022A9">
        <w:rPr>
          <w:rFonts w:cstheme="minorHAnsi"/>
          <w:color w:val="FF0000"/>
          <w:sz w:val="24"/>
          <w:szCs w:val="24"/>
        </w:rPr>
        <w:t xml:space="preserve"> </w:t>
      </w:r>
      <w:r w:rsidR="00090FF4">
        <w:rPr>
          <w:rFonts w:cstheme="minorHAnsi"/>
          <w:sz w:val="24"/>
          <w:szCs w:val="24"/>
        </w:rPr>
        <w:t>Our continuity is illustrated by c</w:t>
      </w:r>
      <w:r w:rsidRPr="00D022A9">
        <w:rPr>
          <w:rFonts w:cstheme="minorHAnsi"/>
          <w:sz w:val="24"/>
          <w:szCs w:val="24"/>
        </w:rPr>
        <w:t>ompar</w:t>
      </w:r>
      <w:r w:rsidR="00090FF4">
        <w:rPr>
          <w:rFonts w:cstheme="minorHAnsi"/>
          <w:sz w:val="24"/>
          <w:szCs w:val="24"/>
        </w:rPr>
        <w:t>ing the</w:t>
      </w:r>
      <w:r w:rsidRPr="00D022A9">
        <w:rPr>
          <w:rFonts w:cstheme="minorHAnsi"/>
          <w:sz w:val="24"/>
          <w:szCs w:val="24"/>
        </w:rPr>
        <w:t xml:space="preserve"> 1994 conference in Amsterdam.</w:t>
      </w:r>
      <w:r w:rsidR="00090FF4">
        <w:rPr>
          <w:rFonts w:cstheme="minorHAnsi"/>
          <w:sz w:val="24"/>
          <w:szCs w:val="24"/>
        </w:rPr>
        <w:t xml:space="preserve"> </w:t>
      </w:r>
      <w:r w:rsidR="00090FF4" w:rsidRPr="00090FF4">
        <w:rPr>
          <w:rFonts w:cstheme="minorHAnsi"/>
          <w:color w:val="FF0000"/>
          <w:sz w:val="24"/>
          <w:szCs w:val="24"/>
        </w:rPr>
        <w:t>[PPT</w:t>
      </w:r>
      <w:r w:rsidR="003F29DB">
        <w:rPr>
          <w:rFonts w:cstheme="minorHAnsi"/>
          <w:color w:val="FF0000"/>
          <w:sz w:val="24"/>
          <w:szCs w:val="24"/>
        </w:rPr>
        <w:t>30</w:t>
      </w:r>
      <w:r w:rsidR="00090FF4" w:rsidRPr="00090FF4">
        <w:rPr>
          <w:rFonts w:cstheme="minorHAnsi"/>
          <w:color w:val="FF0000"/>
          <w:sz w:val="24"/>
          <w:szCs w:val="24"/>
        </w:rPr>
        <w:t>]</w:t>
      </w:r>
      <w:r w:rsidRPr="00090FF4">
        <w:rPr>
          <w:rFonts w:cstheme="minorHAnsi"/>
          <w:color w:val="FF0000"/>
          <w:sz w:val="24"/>
          <w:szCs w:val="24"/>
        </w:rPr>
        <w:t xml:space="preserve"> </w:t>
      </w:r>
    </w:p>
    <w:p w:rsidR="0006668A" w:rsidRPr="0089008C" w:rsidRDefault="0006668A" w:rsidP="00D42784">
      <w:pPr>
        <w:pStyle w:val="NoSpacing"/>
        <w:spacing w:line="276" w:lineRule="auto"/>
        <w:rPr>
          <w:rFonts w:cstheme="minorHAnsi"/>
          <w:color w:val="FF0000"/>
          <w:sz w:val="24"/>
          <w:szCs w:val="24"/>
        </w:rPr>
      </w:pPr>
    </w:p>
    <w:p w:rsidR="00D022A9" w:rsidRDefault="003E243D" w:rsidP="00D022A9">
      <w:pPr>
        <w:pStyle w:val="NoSpacing"/>
        <w:spacing w:line="276" w:lineRule="auto"/>
        <w:rPr>
          <w:rFonts w:cstheme="minorHAnsi"/>
          <w:sz w:val="24"/>
          <w:szCs w:val="24"/>
        </w:rPr>
      </w:pPr>
      <w:r>
        <w:rPr>
          <w:rFonts w:cstheme="minorHAnsi"/>
          <w:sz w:val="24"/>
          <w:szCs w:val="24"/>
        </w:rPr>
        <w:lastRenderedPageBreak/>
        <w:t>Issues of health</w:t>
      </w:r>
      <w:r w:rsidR="0006668A" w:rsidRPr="0089008C">
        <w:rPr>
          <w:rFonts w:cstheme="minorHAnsi"/>
          <w:sz w:val="24"/>
          <w:szCs w:val="24"/>
        </w:rPr>
        <w:t>, mental and physic</w:t>
      </w:r>
      <w:r w:rsidR="0006668A">
        <w:rPr>
          <w:rFonts w:cstheme="minorHAnsi"/>
          <w:sz w:val="24"/>
          <w:szCs w:val="24"/>
        </w:rPr>
        <w:t xml:space="preserve">al often </w:t>
      </w:r>
      <w:r w:rsidR="00D022A9">
        <w:rPr>
          <w:rFonts w:cstheme="minorHAnsi"/>
          <w:sz w:val="24"/>
          <w:szCs w:val="24"/>
        </w:rPr>
        <w:t xml:space="preserve">include </w:t>
      </w:r>
      <w:r w:rsidR="0006668A">
        <w:rPr>
          <w:rFonts w:cstheme="minorHAnsi"/>
          <w:sz w:val="24"/>
          <w:szCs w:val="24"/>
        </w:rPr>
        <w:t xml:space="preserve">implicit gender issues, although </w:t>
      </w:r>
      <w:r w:rsidR="0006668A" w:rsidRPr="0089008C">
        <w:rPr>
          <w:rFonts w:cstheme="minorHAnsi"/>
          <w:sz w:val="24"/>
          <w:szCs w:val="24"/>
        </w:rPr>
        <w:t xml:space="preserve">some openly discuss this, </w:t>
      </w:r>
      <w:r w:rsidR="003F29DB">
        <w:rPr>
          <w:rFonts w:cstheme="minorHAnsi"/>
          <w:sz w:val="24"/>
          <w:szCs w:val="24"/>
        </w:rPr>
        <w:t>for example</w:t>
      </w:r>
      <w:r w:rsidR="0006668A" w:rsidRPr="0089008C">
        <w:rPr>
          <w:rFonts w:cstheme="minorHAnsi"/>
          <w:color w:val="FF0000"/>
          <w:sz w:val="24"/>
          <w:szCs w:val="24"/>
        </w:rPr>
        <w:t xml:space="preserve"> </w:t>
      </w:r>
      <w:r w:rsidR="0006668A" w:rsidRPr="0089008C">
        <w:rPr>
          <w:rFonts w:cstheme="minorHAnsi"/>
          <w:sz w:val="24"/>
          <w:szCs w:val="24"/>
        </w:rPr>
        <w:t xml:space="preserve">Annemieke </w:t>
      </w:r>
      <w:r w:rsidR="00D022A9">
        <w:rPr>
          <w:rFonts w:cstheme="minorHAnsi"/>
          <w:sz w:val="24"/>
          <w:szCs w:val="24"/>
        </w:rPr>
        <w:t xml:space="preserve">van Drenth and Mineke van Essen in their article </w:t>
      </w:r>
      <w:r w:rsidR="00D022A9" w:rsidRPr="003F29DB">
        <w:rPr>
          <w:rFonts w:cstheme="minorHAnsi"/>
          <w:sz w:val="24"/>
          <w:szCs w:val="24"/>
        </w:rPr>
        <w:t xml:space="preserve">on </w:t>
      </w:r>
      <w:r w:rsidR="0006668A" w:rsidRPr="003F29DB">
        <w:rPr>
          <w:rFonts w:cstheme="minorHAnsi"/>
          <w:sz w:val="24"/>
          <w:szCs w:val="24"/>
        </w:rPr>
        <w:t>‘Dutch Special Education Schools for Children with Learning Disabilities in the Interwar Period’.</w:t>
      </w:r>
      <w:r w:rsidR="00D022A9" w:rsidRPr="003F29DB">
        <w:rPr>
          <w:rStyle w:val="FootnoteReference"/>
          <w:rFonts w:cstheme="minorHAnsi"/>
          <w:sz w:val="24"/>
          <w:szCs w:val="24"/>
        </w:rPr>
        <w:footnoteReference w:id="35"/>
      </w:r>
      <w:r w:rsidR="0006668A" w:rsidRPr="003F29DB">
        <w:rPr>
          <w:rFonts w:cstheme="minorHAnsi"/>
          <w:sz w:val="24"/>
          <w:szCs w:val="24"/>
        </w:rPr>
        <w:t xml:space="preserve"> </w:t>
      </w:r>
      <w:r w:rsidR="00F46362">
        <w:rPr>
          <w:rFonts w:cstheme="minorHAnsi"/>
          <w:sz w:val="24"/>
          <w:szCs w:val="24"/>
        </w:rPr>
        <w:t xml:space="preserve">The </w:t>
      </w:r>
      <w:r w:rsidR="00F46362" w:rsidRPr="003F29DB">
        <w:rPr>
          <w:rFonts w:cstheme="minorHAnsi"/>
          <w:sz w:val="24"/>
          <w:szCs w:val="24"/>
        </w:rPr>
        <w:t>theme of ‘Discourses of Masturbation’ with articles by Lesley A. Hall, Michael Stolberg and Franz X. Elder</w:t>
      </w:r>
      <w:r w:rsidR="00F46362">
        <w:rPr>
          <w:rFonts w:cstheme="minorHAnsi"/>
          <w:sz w:val="24"/>
          <w:szCs w:val="24"/>
        </w:rPr>
        <w:t xml:space="preserve"> is</w:t>
      </w:r>
      <w:r w:rsidR="00F46362" w:rsidRPr="003F29DB">
        <w:rPr>
          <w:rFonts w:cstheme="minorHAnsi"/>
          <w:sz w:val="24"/>
          <w:szCs w:val="24"/>
        </w:rPr>
        <w:t xml:space="preserve"> implicitly is on a gendered issue</w:t>
      </w:r>
      <w:r w:rsidR="00F46362">
        <w:rPr>
          <w:rFonts w:cstheme="minorHAnsi"/>
          <w:sz w:val="24"/>
          <w:szCs w:val="24"/>
        </w:rPr>
        <w:t xml:space="preserve"> as </w:t>
      </w:r>
      <w:r w:rsidR="00F46362" w:rsidRPr="003F29DB">
        <w:rPr>
          <w:rFonts w:cstheme="minorHAnsi"/>
          <w:sz w:val="24"/>
          <w:szCs w:val="24"/>
        </w:rPr>
        <w:t>is Bernardo Rodriguez’ article on the making of ‘public’ schoolboys.</w:t>
      </w:r>
      <w:r w:rsidR="00F46362" w:rsidRPr="003F29DB">
        <w:rPr>
          <w:rStyle w:val="FootnoteReference"/>
          <w:rFonts w:cstheme="minorHAnsi"/>
          <w:sz w:val="24"/>
          <w:szCs w:val="24"/>
        </w:rPr>
        <w:footnoteReference w:id="36"/>
      </w:r>
      <w:r w:rsidR="00F46362">
        <w:rPr>
          <w:rFonts w:cstheme="minorHAnsi"/>
          <w:sz w:val="24"/>
          <w:szCs w:val="24"/>
        </w:rPr>
        <w:t xml:space="preserve"> Other</w:t>
      </w:r>
      <w:r w:rsidR="0006668A" w:rsidRPr="003F29DB">
        <w:rPr>
          <w:rFonts w:cstheme="minorHAnsi"/>
          <w:sz w:val="24"/>
          <w:szCs w:val="24"/>
        </w:rPr>
        <w:t xml:space="preserve"> papers</w:t>
      </w:r>
      <w:r w:rsidR="00F46362">
        <w:rPr>
          <w:rFonts w:cstheme="minorHAnsi"/>
          <w:sz w:val="24"/>
          <w:szCs w:val="24"/>
        </w:rPr>
        <w:t>, while</w:t>
      </w:r>
      <w:r w:rsidR="0006668A" w:rsidRPr="003F29DB">
        <w:rPr>
          <w:rFonts w:cstheme="minorHAnsi"/>
          <w:sz w:val="24"/>
          <w:szCs w:val="24"/>
        </w:rPr>
        <w:t xml:space="preserve"> not talk</w:t>
      </w:r>
      <w:r w:rsidR="00F46362">
        <w:rPr>
          <w:rFonts w:cstheme="minorHAnsi"/>
          <w:sz w:val="24"/>
          <w:szCs w:val="24"/>
        </w:rPr>
        <w:t>ing</w:t>
      </w:r>
      <w:r w:rsidR="0006668A" w:rsidRPr="003F29DB">
        <w:rPr>
          <w:rFonts w:cstheme="minorHAnsi"/>
          <w:sz w:val="24"/>
          <w:szCs w:val="24"/>
        </w:rPr>
        <w:t xml:space="preserve"> specifically about gender issues</w:t>
      </w:r>
      <w:r w:rsidR="00F46362">
        <w:rPr>
          <w:rFonts w:cstheme="minorHAnsi"/>
          <w:sz w:val="24"/>
          <w:szCs w:val="24"/>
        </w:rPr>
        <w:t>,</w:t>
      </w:r>
      <w:r w:rsidR="0006668A" w:rsidRPr="003F29DB">
        <w:rPr>
          <w:rFonts w:cstheme="minorHAnsi"/>
          <w:sz w:val="24"/>
          <w:szCs w:val="24"/>
        </w:rPr>
        <w:t xml:space="preserve"> raise the different treatment meted out to boys and girls </w:t>
      </w:r>
      <w:r w:rsidR="00D022A9" w:rsidRPr="003F29DB">
        <w:rPr>
          <w:rFonts w:cstheme="minorHAnsi"/>
          <w:sz w:val="24"/>
          <w:szCs w:val="24"/>
        </w:rPr>
        <w:t>as does</w:t>
      </w:r>
      <w:r w:rsidR="0006668A" w:rsidRPr="003F29DB">
        <w:rPr>
          <w:rFonts w:cstheme="minorHAnsi"/>
          <w:sz w:val="24"/>
          <w:szCs w:val="24"/>
        </w:rPr>
        <w:t xml:space="preserve"> Patrick Ryan</w:t>
      </w:r>
      <w:r w:rsidR="00D022A9" w:rsidRPr="003F29DB">
        <w:rPr>
          <w:rFonts w:cstheme="minorHAnsi"/>
          <w:sz w:val="24"/>
          <w:szCs w:val="24"/>
        </w:rPr>
        <w:t xml:space="preserve"> writing on</w:t>
      </w:r>
      <w:r w:rsidR="0006668A" w:rsidRPr="003F29DB">
        <w:rPr>
          <w:rFonts w:cstheme="minorHAnsi"/>
          <w:sz w:val="24"/>
          <w:szCs w:val="24"/>
        </w:rPr>
        <w:t xml:space="preserve"> </w:t>
      </w:r>
      <w:r w:rsidR="00D022A9" w:rsidRPr="003F29DB">
        <w:rPr>
          <w:rFonts w:cstheme="minorHAnsi"/>
          <w:sz w:val="24"/>
          <w:szCs w:val="24"/>
        </w:rPr>
        <w:t>‘</w:t>
      </w:r>
      <w:r w:rsidR="0006668A" w:rsidRPr="003F29DB">
        <w:rPr>
          <w:rFonts w:cstheme="minorHAnsi"/>
          <w:sz w:val="24"/>
          <w:szCs w:val="24"/>
        </w:rPr>
        <w:t>Individual Intelligence, Race and Foster Children in Cleveland, Ohio between the World Wars’</w:t>
      </w:r>
      <w:r w:rsidR="00D022A9" w:rsidRPr="003F29DB">
        <w:rPr>
          <w:rFonts w:cstheme="minorHAnsi"/>
          <w:sz w:val="24"/>
          <w:szCs w:val="24"/>
        </w:rPr>
        <w:t>.</w:t>
      </w:r>
      <w:r w:rsidR="00D022A9" w:rsidRPr="003F29DB">
        <w:rPr>
          <w:rStyle w:val="FootnoteReference"/>
          <w:rFonts w:cstheme="minorHAnsi"/>
          <w:sz w:val="24"/>
          <w:szCs w:val="24"/>
        </w:rPr>
        <w:footnoteReference w:id="37"/>
      </w:r>
      <w:r w:rsidR="003F29DB">
        <w:rPr>
          <w:rFonts w:cstheme="minorHAnsi"/>
          <w:sz w:val="24"/>
          <w:szCs w:val="24"/>
        </w:rPr>
        <w:t xml:space="preserve"> </w:t>
      </w:r>
    </w:p>
    <w:p w:rsidR="00F46362" w:rsidRPr="003F29DB" w:rsidRDefault="00F46362" w:rsidP="00D022A9">
      <w:pPr>
        <w:pStyle w:val="NoSpacing"/>
        <w:spacing w:line="276" w:lineRule="auto"/>
        <w:rPr>
          <w:rFonts w:cstheme="minorHAnsi"/>
          <w:sz w:val="24"/>
          <w:szCs w:val="24"/>
        </w:rPr>
      </w:pPr>
    </w:p>
    <w:p w:rsidR="0006668A" w:rsidRPr="003F29DB" w:rsidRDefault="0006668A" w:rsidP="00D42784">
      <w:pPr>
        <w:pStyle w:val="NoSpacing"/>
        <w:spacing w:line="276" w:lineRule="auto"/>
        <w:rPr>
          <w:rFonts w:cstheme="minorHAnsi"/>
          <w:sz w:val="24"/>
          <w:szCs w:val="24"/>
        </w:rPr>
      </w:pPr>
      <w:r w:rsidRPr="003F29DB">
        <w:rPr>
          <w:rFonts w:cstheme="minorHAnsi"/>
          <w:sz w:val="24"/>
          <w:szCs w:val="24"/>
        </w:rPr>
        <w:t xml:space="preserve">In noting gender articles </w:t>
      </w:r>
      <w:r w:rsidR="00D022A9" w:rsidRPr="003F29DB">
        <w:rPr>
          <w:rFonts w:cstheme="minorHAnsi"/>
          <w:sz w:val="24"/>
          <w:szCs w:val="24"/>
        </w:rPr>
        <w:t xml:space="preserve">I have </w:t>
      </w:r>
      <w:r w:rsidRPr="003F29DB">
        <w:rPr>
          <w:rFonts w:cstheme="minorHAnsi"/>
          <w:sz w:val="24"/>
          <w:szCs w:val="24"/>
        </w:rPr>
        <w:t xml:space="preserve">tried to keep to those who mention the issues but </w:t>
      </w:r>
      <w:r w:rsidR="00D022A9" w:rsidRPr="003F29DB">
        <w:rPr>
          <w:rFonts w:cstheme="minorHAnsi"/>
          <w:sz w:val="24"/>
          <w:szCs w:val="24"/>
        </w:rPr>
        <w:t>I both may have missed some and i</w:t>
      </w:r>
      <w:r w:rsidRPr="003F29DB">
        <w:rPr>
          <w:rFonts w:cstheme="minorHAnsi"/>
          <w:sz w:val="24"/>
          <w:szCs w:val="24"/>
        </w:rPr>
        <w:t xml:space="preserve">ncluded </w:t>
      </w:r>
      <w:r w:rsidR="00D022A9" w:rsidRPr="003F29DB">
        <w:rPr>
          <w:rFonts w:cstheme="minorHAnsi"/>
          <w:sz w:val="24"/>
          <w:szCs w:val="24"/>
        </w:rPr>
        <w:t xml:space="preserve">others </w:t>
      </w:r>
      <w:r w:rsidRPr="003F29DB">
        <w:rPr>
          <w:rFonts w:cstheme="minorHAnsi"/>
          <w:sz w:val="24"/>
          <w:szCs w:val="24"/>
        </w:rPr>
        <w:t>which are</w:t>
      </w:r>
      <w:r w:rsidR="00D022A9" w:rsidRPr="003F29DB">
        <w:rPr>
          <w:rFonts w:cstheme="minorHAnsi"/>
          <w:sz w:val="24"/>
          <w:szCs w:val="24"/>
        </w:rPr>
        <w:t xml:space="preserve"> fascinating</w:t>
      </w:r>
      <w:r w:rsidRPr="003F29DB">
        <w:rPr>
          <w:rFonts w:cstheme="minorHAnsi"/>
          <w:sz w:val="24"/>
          <w:szCs w:val="24"/>
        </w:rPr>
        <w:t xml:space="preserve"> on women’s history but </w:t>
      </w:r>
      <w:r w:rsidR="00D022A9" w:rsidRPr="003F29DB">
        <w:rPr>
          <w:rFonts w:cstheme="minorHAnsi"/>
          <w:sz w:val="24"/>
          <w:szCs w:val="24"/>
        </w:rPr>
        <w:t xml:space="preserve">with </w:t>
      </w:r>
      <w:r w:rsidRPr="003F29DB">
        <w:rPr>
          <w:rFonts w:cstheme="minorHAnsi"/>
          <w:sz w:val="24"/>
          <w:szCs w:val="24"/>
        </w:rPr>
        <w:t>little about gender issues</w:t>
      </w:r>
      <w:r w:rsidR="00F46362">
        <w:rPr>
          <w:rFonts w:cstheme="minorHAnsi"/>
          <w:sz w:val="24"/>
          <w:szCs w:val="24"/>
        </w:rPr>
        <w:t>, for example</w:t>
      </w:r>
      <w:r w:rsidRPr="003F29DB">
        <w:rPr>
          <w:rFonts w:cstheme="minorHAnsi"/>
          <w:sz w:val="24"/>
          <w:szCs w:val="24"/>
        </w:rPr>
        <w:t xml:space="preserve"> Maria </w:t>
      </w:r>
      <w:proofErr w:type="spellStart"/>
      <w:r w:rsidRPr="003F29DB">
        <w:rPr>
          <w:rFonts w:cstheme="minorHAnsi"/>
          <w:sz w:val="24"/>
          <w:szCs w:val="24"/>
        </w:rPr>
        <w:t>Iolanda</w:t>
      </w:r>
      <w:proofErr w:type="spellEnd"/>
      <w:r w:rsidRPr="003F29DB">
        <w:rPr>
          <w:rFonts w:cstheme="minorHAnsi"/>
          <w:sz w:val="24"/>
          <w:szCs w:val="24"/>
        </w:rPr>
        <w:t xml:space="preserve"> </w:t>
      </w:r>
      <w:proofErr w:type="spellStart"/>
      <w:r w:rsidRPr="003F29DB">
        <w:rPr>
          <w:rFonts w:cstheme="minorHAnsi"/>
          <w:sz w:val="24"/>
          <w:szCs w:val="24"/>
        </w:rPr>
        <w:t>Monteiro</w:t>
      </w:r>
      <w:proofErr w:type="spellEnd"/>
      <w:r w:rsidRPr="003F29DB">
        <w:rPr>
          <w:rFonts w:cstheme="minorHAnsi"/>
          <w:sz w:val="24"/>
          <w:szCs w:val="24"/>
        </w:rPr>
        <w:t xml:space="preserve"> and </w:t>
      </w:r>
      <w:proofErr w:type="spellStart"/>
      <w:r w:rsidR="00D022A9" w:rsidRPr="003F29DB">
        <w:rPr>
          <w:rFonts w:cstheme="minorHAnsi"/>
          <w:sz w:val="24"/>
          <w:szCs w:val="24"/>
        </w:rPr>
        <w:t>Belmira</w:t>
      </w:r>
      <w:proofErr w:type="spellEnd"/>
      <w:r w:rsidR="00D022A9" w:rsidRPr="003F29DB">
        <w:rPr>
          <w:rFonts w:cstheme="minorHAnsi"/>
          <w:sz w:val="24"/>
          <w:szCs w:val="24"/>
        </w:rPr>
        <w:t xml:space="preserve"> Oliveira </w:t>
      </w:r>
      <w:proofErr w:type="spellStart"/>
      <w:r w:rsidR="00D022A9" w:rsidRPr="003F29DB">
        <w:rPr>
          <w:rFonts w:cstheme="minorHAnsi"/>
          <w:sz w:val="24"/>
          <w:szCs w:val="24"/>
        </w:rPr>
        <w:t>Bueno</w:t>
      </w:r>
      <w:proofErr w:type="spellEnd"/>
      <w:r w:rsidR="00D022A9" w:rsidRPr="003F29DB">
        <w:rPr>
          <w:rFonts w:cstheme="minorHAnsi"/>
          <w:sz w:val="24"/>
          <w:szCs w:val="24"/>
        </w:rPr>
        <w:t xml:space="preserve"> on</w:t>
      </w:r>
      <w:r w:rsidRPr="003F29DB">
        <w:rPr>
          <w:rFonts w:cstheme="minorHAnsi"/>
          <w:sz w:val="24"/>
          <w:szCs w:val="24"/>
        </w:rPr>
        <w:t xml:space="preserve"> </w:t>
      </w:r>
      <w:r w:rsidR="00966EF0">
        <w:rPr>
          <w:rFonts w:cstheme="minorHAnsi"/>
          <w:sz w:val="24"/>
          <w:szCs w:val="24"/>
        </w:rPr>
        <w:t>Brazilian</w:t>
      </w:r>
      <w:r w:rsidRPr="003F29DB">
        <w:rPr>
          <w:rFonts w:cstheme="minorHAnsi"/>
          <w:sz w:val="24"/>
          <w:szCs w:val="24"/>
        </w:rPr>
        <w:t xml:space="preserve"> </w:t>
      </w:r>
      <w:r w:rsidR="00966EF0">
        <w:rPr>
          <w:rFonts w:cstheme="minorHAnsi"/>
          <w:sz w:val="24"/>
          <w:szCs w:val="24"/>
        </w:rPr>
        <w:t>l</w:t>
      </w:r>
      <w:r w:rsidRPr="003F29DB">
        <w:rPr>
          <w:rFonts w:cstheme="minorHAnsi"/>
          <w:sz w:val="24"/>
          <w:szCs w:val="24"/>
        </w:rPr>
        <w:t xml:space="preserve">iteracy </w:t>
      </w:r>
      <w:r w:rsidR="00966EF0">
        <w:rPr>
          <w:rFonts w:cstheme="minorHAnsi"/>
          <w:sz w:val="24"/>
          <w:szCs w:val="24"/>
        </w:rPr>
        <w:t>t</w:t>
      </w:r>
      <w:r w:rsidRPr="003F29DB">
        <w:rPr>
          <w:rFonts w:cstheme="minorHAnsi"/>
          <w:sz w:val="24"/>
          <w:szCs w:val="24"/>
        </w:rPr>
        <w:t xml:space="preserve">eachers and </w:t>
      </w:r>
      <w:proofErr w:type="spellStart"/>
      <w:r w:rsidR="00D022A9" w:rsidRPr="003F29DB">
        <w:rPr>
          <w:rFonts w:cstheme="minorHAnsi"/>
          <w:sz w:val="24"/>
          <w:szCs w:val="24"/>
        </w:rPr>
        <w:t>Kaisa</w:t>
      </w:r>
      <w:proofErr w:type="spellEnd"/>
      <w:r w:rsidR="00D022A9" w:rsidRPr="003F29DB">
        <w:rPr>
          <w:rFonts w:cstheme="minorHAnsi"/>
          <w:sz w:val="24"/>
          <w:szCs w:val="24"/>
        </w:rPr>
        <w:t xml:space="preserve"> </w:t>
      </w:r>
      <w:proofErr w:type="spellStart"/>
      <w:r w:rsidR="00D022A9" w:rsidRPr="003F29DB">
        <w:rPr>
          <w:rFonts w:cstheme="minorHAnsi"/>
          <w:sz w:val="24"/>
          <w:szCs w:val="24"/>
        </w:rPr>
        <w:t>Vehkalati</w:t>
      </w:r>
      <w:proofErr w:type="spellEnd"/>
      <w:r w:rsidR="00D022A9" w:rsidRPr="003F29DB">
        <w:rPr>
          <w:rFonts w:cstheme="minorHAnsi"/>
          <w:sz w:val="24"/>
          <w:szCs w:val="24"/>
        </w:rPr>
        <w:t xml:space="preserve"> on</w:t>
      </w:r>
      <w:r w:rsidRPr="003F29DB">
        <w:rPr>
          <w:rFonts w:cstheme="minorHAnsi"/>
          <w:sz w:val="24"/>
          <w:szCs w:val="24"/>
        </w:rPr>
        <w:t xml:space="preserve"> </w:t>
      </w:r>
      <w:r w:rsidR="00966EF0">
        <w:rPr>
          <w:rFonts w:cstheme="minorHAnsi"/>
          <w:sz w:val="24"/>
          <w:szCs w:val="24"/>
        </w:rPr>
        <w:t>l</w:t>
      </w:r>
      <w:r w:rsidRPr="003F29DB">
        <w:rPr>
          <w:rFonts w:cstheme="minorHAnsi"/>
          <w:sz w:val="24"/>
          <w:szCs w:val="24"/>
        </w:rPr>
        <w:t xml:space="preserve">etter-writings </w:t>
      </w:r>
      <w:r w:rsidR="00966EF0">
        <w:rPr>
          <w:rFonts w:cstheme="minorHAnsi"/>
          <w:sz w:val="24"/>
          <w:szCs w:val="24"/>
        </w:rPr>
        <w:t>in Finn</w:t>
      </w:r>
      <w:r w:rsidR="00D022A9" w:rsidRPr="003F29DB">
        <w:rPr>
          <w:rFonts w:cstheme="minorHAnsi"/>
          <w:sz w:val="24"/>
          <w:szCs w:val="24"/>
        </w:rPr>
        <w:t>ish Reform School Education.</w:t>
      </w:r>
      <w:r w:rsidR="00D022A9" w:rsidRPr="003F29DB">
        <w:rPr>
          <w:rStyle w:val="FootnoteReference"/>
          <w:rFonts w:cstheme="minorHAnsi"/>
          <w:sz w:val="24"/>
          <w:szCs w:val="24"/>
        </w:rPr>
        <w:footnoteReference w:id="38"/>
      </w:r>
      <w:r w:rsidR="00D022A9" w:rsidRPr="003F29DB">
        <w:rPr>
          <w:rFonts w:cstheme="minorHAnsi"/>
          <w:sz w:val="24"/>
          <w:szCs w:val="24"/>
        </w:rPr>
        <w:t xml:space="preserve"> Indeed, </w:t>
      </w:r>
      <w:r w:rsidRPr="003F29DB">
        <w:rPr>
          <w:rFonts w:cstheme="minorHAnsi"/>
          <w:sz w:val="24"/>
          <w:szCs w:val="24"/>
        </w:rPr>
        <w:t>some otherwise excellent and thought-provoking articles or set of articles have little to say on gender, although their titles might suggest they would</w:t>
      </w:r>
      <w:r w:rsidR="00D022A9" w:rsidRPr="003F29DB">
        <w:rPr>
          <w:rFonts w:cstheme="minorHAnsi"/>
          <w:sz w:val="24"/>
          <w:szCs w:val="24"/>
        </w:rPr>
        <w:t>, including</w:t>
      </w:r>
      <w:r w:rsidR="00966EF0">
        <w:rPr>
          <w:rFonts w:cstheme="minorHAnsi"/>
          <w:sz w:val="24"/>
          <w:szCs w:val="24"/>
        </w:rPr>
        <w:t>, for instance,</w:t>
      </w:r>
      <w:r w:rsidR="00090FF4" w:rsidRPr="003F29DB">
        <w:rPr>
          <w:rFonts w:cstheme="minorHAnsi"/>
          <w:sz w:val="24"/>
          <w:szCs w:val="24"/>
        </w:rPr>
        <w:t xml:space="preserve"> the special edition</w:t>
      </w:r>
      <w:r w:rsidR="00D022A9" w:rsidRPr="003F29DB">
        <w:rPr>
          <w:rFonts w:cstheme="minorHAnsi"/>
          <w:sz w:val="24"/>
          <w:szCs w:val="24"/>
        </w:rPr>
        <w:t xml:space="preserve"> in 2010 on </w:t>
      </w:r>
      <w:r w:rsidRPr="003F29DB">
        <w:rPr>
          <w:rFonts w:cstheme="minorHAnsi"/>
          <w:sz w:val="24"/>
          <w:szCs w:val="24"/>
        </w:rPr>
        <w:t>‘Education and Latin American Independence</w:t>
      </w:r>
      <w:r w:rsidR="00D022A9" w:rsidRPr="003F29DB">
        <w:rPr>
          <w:rFonts w:cstheme="minorHAnsi"/>
          <w:sz w:val="24"/>
          <w:szCs w:val="24"/>
        </w:rPr>
        <w:t>’</w:t>
      </w:r>
      <w:r w:rsidRPr="003F29DB">
        <w:rPr>
          <w:rFonts w:cstheme="minorHAnsi"/>
          <w:sz w:val="24"/>
          <w:szCs w:val="24"/>
        </w:rPr>
        <w:t>.</w:t>
      </w:r>
      <w:r w:rsidR="00D022A9" w:rsidRPr="003F29DB">
        <w:rPr>
          <w:rStyle w:val="FootnoteReference"/>
          <w:rFonts w:cstheme="minorHAnsi"/>
          <w:sz w:val="24"/>
          <w:szCs w:val="24"/>
        </w:rPr>
        <w:footnoteReference w:id="39"/>
      </w:r>
      <w:r w:rsidRPr="003F29DB">
        <w:rPr>
          <w:rFonts w:cstheme="minorHAnsi"/>
          <w:sz w:val="24"/>
          <w:szCs w:val="24"/>
        </w:rPr>
        <w:t xml:space="preserve"> This might be, of course, because Spanish and Portuguese speakers who write on gender, like those in other countries, prefer to publish elsewhere. Equally</w:t>
      </w:r>
      <w:r w:rsidR="00D022A9" w:rsidRPr="003F29DB">
        <w:rPr>
          <w:rFonts w:cstheme="minorHAnsi"/>
          <w:sz w:val="24"/>
          <w:szCs w:val="24"/>
        </w:rPr>
        <w:t>,</w:t>
      </w:r>
      <w:r w:rsidRPr="003F29DB">
        <w:rPr>
          <w:rFonts w:cstheme="minorHAnsi"/>
          <w:sz w:val="24"/>
          <w:szCs w:val="24"/>
        </w:rPr>
        <w:t xml:space="preserve"> I have tracked a number of papers heard at ISCHE to other English language journals, especially </w:t>
      </w:r>
      <w:r w:rsidRPr="003F29DB">
        <w:rPr>
          <w:rFonts w:cstheme="minorHAnsi"/>
          <w:i/>
          <w:sz w:val="24"/>
          <w:szCs w:val="24"/>
        </w:rPr>
        <w:t>History of Education</w:t>
      </w:r>
      <w:r w:rsidR="00966EF0">
        <w:rPr>
          <w:rFonts w:cstheme="minorHAnsi"/>
          <w:i/>
          <w:sz w:val="24"/>
          <w:szCs w:val="24"/>
        </w:rPr>
        <w:t>.</w:t>
      </w:r>
      <w:r w:rsidR="00D022A9" w:rsidRPr="003F29DB">
        <w:rPr>
          <w:rStyle w:val="FootnoteReference"/>
          <w:rFonts w:cstheme="minorHAnsi"/>
          <w:sz w:val="24"/>
          <w:szCs w:val="24"/>
        </w:rPr>
        <w:footnoteReference w:id="40"/>
      </w:r>
    </w:p>
    <w:p w:rsidR="0006668A" w:rsidRPr="003F29DB" w:rsidRDefault="0006668A" w:rsidP="00D42784">
      <w:pPr>
        <w:pStyle w:val="NoSpacing"/>
        <w:spacing w:line="276" w:lineRule="auto"/>
        <w:rPr>
          <w:rFonts w:cstheme="minorHAnsi"/>
          <w:i/>
          <w:sz w:val="24"/>
          <w:szCs w:val="24"/>
        </w:rPr>
      </w:pPr>
    </w:p>
    <w:p w:rsidR="0006668A" w:rsidRPr="0089008C" w:rsidRDefault="0006668A" w:rsidP="00D42784">
      <w:pPr>
        <w:pStyle w:val="NoSpacing"/>
        <w:spacing w:line="276" w:lineRule="auto"/>
        <w:rPr>
          <w:rFonts w:cstheme="minorHAnsi"/>
          <w:sz w:val="24"/>
          <w:szCs w:val="24"/>
        </w:rPr>
      </w:pPr>
      <w:r w:rsidRPr="003F29DB">
        <w:rPr>
          <w:rFonts w:cstheme="minorHAnsi"/>
          <w:sz w:val="24"/>
          <w:szCs w:val="24"/>
        </w:rPr>
        <w:t xml:space="preserve">Perhaps </w:t>
      </w:r>
      <w:r w:rsidR="00966EF0">
        <w:rPr>
          <w:rFonts w:cstheme="minorHAnsi"/>
          <w:sz w:val="24"/>
          <w:szCs w:val="24"/>
        </w:rPr>
        <w:t>the SWGG</w:t>
      </w:r>
      <w:r w:rsidRPr="003F29DB">
        <w:rPr>
          <w:rFonts w:cstheme="minorHAnsi"/>
          <w:sz w:val="24"/>
          <w:szCs w:val="24"/>
        </w:rPr>
        <w:t xml:space="preserve"> miss</w:t>
      </w:r>
      <w:r w:rsidR="00966EF0">
        <w:rPr>
          <w:rFonts w:cstheme="minorHAnsi"/>
          <w:sz w:val="24"/>
          <w:szCs w:val="24"/>
        </w:rPr>
        <w:t>es</w:t>
      </w:r>
      <w:r w:rsidRPr="003F29DB">
        <w:rPr>
          <w:rFonts w:cstheme="minorHAnsi"/>
          <w:sz w:val="24"/>
          <w:szCs w:val="24"/>
        </w:rPr>
        <w:t xml:space="preserve"> opportunities too: </w:t>
      </w:r>
      <w:r w:rsidR="00966EF0">
        <w:rPr>
          <w:rFonts w:cstheme="minorHAnsi"/>
          <w:sz w:val="24"/>
          <w:szCs w:val="24"/>
        </w:rPr>
        <w:t>for example,</w:t>
      </w:r>
      <w:r w:rsidRPr="003F29DB">
        <w:rPr>
          <w:rFonts w:cstheme="minorHAnsi"/>
          <w:sz w:val="24"/>
          <w:szCs w:val="24"/>
        </w:rPr>
        <w:t xml:space="preserve"> the special issue on networks in April 2007 has nothing on gender, although many of our papers have had much to say about networks </w:t>
      </w:r>
      <w:r w:rsidR="00966EF0">
        <w:rPr>
          <w:rFonts w:cstheme="minorHAnsi"/>
          <w:sz w:val="24"/>
          <w:szCs w:val="24"/>
        </w:rPr>
        <w:t>and their significance. Perhaps</w:t>
      </w:r>
      <w:r w:rsidR="00090FF4" w:rsidRPr="003F29DB">
        <w:rPr>
          <w:rFonts w:cstheme="minorHAnsi"/>
          <w:sz w:val="24"/>
          <w:szCs w:val="24"/>
        </w:rPr>
        <w:t xml:space="preserve"> more notice </w:t>
      </w:r>
      <w:r w:rsidR="00966EF0">
        <w:rPr>
          <w:rFonts w:cstheme="minorHAnsi"/>
          <w:sz w:val="24"/>
          <w:szCs w:val="24"/>
        </w:rPr>
        <w:t xml:space="preserve">should be taken </w:t>
      </w:r>
      <w:r w:rsidR="00090FF4" w:rsidRPr="003F29DB">
        <w:rPr>
          <w:rFonts w:cstheme="minorHAnsi"/>
          <w:sz w:val="24"/>
          <w:szCs w:val="24"/>
        </w:rPr>
        <w:t>of what other networks are doing</w:t>
      </w:r>
      <w:r w:rsidR="00090FF4">
        <w:rPr>
          <w:rFonts w:cstheme="minorHAnsi"/>
          <w:sz w:val="24"/>
          <w:szCs w:val="24"/>
        </w:rPr>
        <w:t>.</w:t>
      </w:r>
    </w:p>
    <w:p w:rsidR="0006668A" w:rsidRPr="0089008C" w:rsidRDefault="0006668A" w:rsidP="00D42784">
      <w:pPr>
        <w:pStyle w:val="NoSpacing"/>
        <w:spacing w:line="276" w:lineRule="auto"/>
        <w:rPr>
          <w:rFonts w:cstheme="minorHAnsi"/>
          <w:sz w:val="24"/>
          <w:szCs w:val="24"/>
        </w:rPr>
      </w:pPr>
    </w:p>
    <w:p w:rsidR="0006668A" w:rsidRPr="00A55FBD" w:rsidRDefault="00D022A9" w:rsidP="00D42784">
      <w:pPr>
        <w:pStyle w:val="NoSpacing"/>
        <w:spacing w:line="276" w:lineRule="auto"/>
        <w:rPr>
          <w:rFonts w:cstheme="minorHAnsi"/>
          <w:color w:val="FF0000"/>
          <w:sz w:val="24"/>
          <w:szCs w:val="24"/>
        </w:rPr>
      </w:pPr>
      <w:r>
        <w:rPr>
          <w:rFonts w:cstheme="minorHAnsi"/>
          <w:sz w:val="24"/>
          <w:szCs w:val="24"/>
        </w:rPr>
        <w:t xml:space="preserve">Nevertheless, </w:t>
      </w:r>
      <w:r w:rsidR="00A55FBD">
        <w:rPr>
          <w:rFonts w:cstheme="minorHAnsi"/>
          <w:sz w:val="24"/>
          <w:szCs w:val="24"/>
        </w:rPr>
        <w:t>t</w:t>
      </w:r>
      <w:r w:rsidR="0006668A">
        <w:rPr>
          <w:rFonts w:cstheme="minorHAnsi"/>
          <w:sz w:val="24"/>
          <w:szCs w:val="24"/>
        </w:rPr>
        <w:t>he g</w:t>
      </w:r>
      <w:r w:rsidR="0006668A" w:rsidRPr="0089008C">
        <w:rPr>
          <w:rFonts w:cstheme="minorHAnsi"/>
          <w:sz w:val="24"/>
          <w:szCs w:val="24"/>
        </w:rPr>
        <w:t xml:space="preserve">ender group in ISCHE </w:t>
      </w:r>
      <w:r w:rsidR="0006668A">
        <w:rPr>
          <w:rFonts w:cstheme="minorHAnsi"/>
          <w:sz w:val="24"/>
          <w:szCs w:val="24"/>
        </w:rPr>
        <w:t xml:space="preserve">is </w:t>
      </w:r>
      <w:r w:rsidR="0006668A" w:rsidRPr="0089008C">
        <w:rPr>
          <w:rFonts w:cstheme="minorHAnsi"/>
          <w:sz w:val="24"/>
          <w:szCs w:val="24"/>
        </w:rPr>
        <w:t>constantly looking at themes from a different perspective, reworking old ideas, reinterpreting, adding fresh ideas, sources and methods</w:t>
      </w:r>
      <w:r w:rsidR="0006668A">
        <w:rPr>
          <w:rFonts w:cstheme="minorHAnsi"/>
          <w:sz w:val="24"/>
          <w:szCs w:val="24"/>
        </w:rPr>
        <w:t xml:space="preserve"> </w:t>
      </w:r>
      <w:r w:rsidR="0006668A">
        <w:rPr>
          <w:rFonts w:cstheme="minorHAnsi"/>
          <w:sz w:val="24"/>
          <w:szCs w:val="24"/>
        </w:rPr>
        <w:lastRenderedPageBreak/>
        <w:t>and in so doing have greatly enlarged our understanding of the history of education</w:t>
      </w:r>
      <w:r w:rsidR="0006668A" w:rsidRPr="0089008C">
        <w:rPr>
          <w:rFonts w:cstheme="minorHAnsi"/>
          <w:sz w:val="24"/>
          <w:szCs w:val="24"/>
        </w:rPr>
        <w:t xml:space="preserve">. </w:t>
      </w:r>
      <w:r w:rsidR="00A55FBD">
        <w:rPr>
          <w:rFonts w:cstheme="minorHAnsi"/>
          <w:sz w:val="24"/>
          <w:szCs w:val="24"/>
        </w:rPr>
        <w:t>Our papers</w:t>
      </w:r>
      <w:r w:rsidR="0006668A">
        <w:rPr>
          <w:rFonts w:cstheme="minorHAnsi"/>
          <w:sz w:val="24"/>
          <w:szCs w:val="24"/>
        </w:rPr>
        <w:t xml:space="preserve"> </w:t>
      </w:r>
      <w:r w:rsidR="00966EF0">
        <w:rPr>
          <w:rFonts w:cstheme="minorHAnsi"/>
          <w:sz w:val="24"/>
          <w:szCs w:val="24"/>
        </w:rPr>
        <w:t xml:space="preserve">constantly </w:t>
      </w:r>
      <w:r w:rsidR="0006668A">
        <w:rPr>
          <w:rFonts w:cstheme="minorHAnsi"/>
          <w:sz w:val="24"/>
          <w:szCs w:val="24"/>
        </w:rPr>
        <w:t xml:space="preserve">reiterate that to </w:t>
      </w:r>
      <w:r w:rsidR="0006668A" w:rsidRPr="0089008C">
        <w:rPr>
          <w:rFonts w:cstheme="minorHAnsi"/>
          <w:sz w:val="24"/>
          <w:szCs w:val="24"/>
        </w:rPr>
        <w:t xml:space="preserve">omit women </w:t>
      </w:r>
      <w:r w:rsidR="0006668A">
        <w:rPr>
          <w:rFonts w:cstheme="minorHAnsi"/>
          <w:sz w:val="24"/>
          <w:szCs w:val="24"/>
        </w:rPr>
        <w:t xml:space="preserve">or fail to analyse gender is </w:t>
      </w:r>
      <w:r w:rsidR="0006668A" w:rsidRPr="0089008C">
        <w:rPr>
          <w:rFonts w:cstheme="minorHAnsi"/>
          <w:sz w:val="24"/>
          <w:szCs w:val="24"/>
        </w:rPr>
        <w:t>bad history</w:t>
      </w:r>
      <w:r w:rsidR="00966EF0">
        <w:rPr>
          <w:rFonts w:cstheme="minorHAnsi"/>
          <w:sz w:val="24"/>
          <w:szCs w:val="24"/>
        </w:rPr>
        <w:t>. Similarly, we</w:t>
      </w:r>
      <w:r w:rsidR="0006668A">
        <w:rPr>
          <w:rFonts w:cstheme="minorHAnsi"/>
          <w:sz w:val="24"/>
          <w:szCs w:val="24"/>
        </w:rPr>
        <w:t xml:space="preserve"> point out that even persons</w:t>
      </w:r>
      <w:r w:rsidR="0006668A" w:rsidRPr="0089008C">
        <w:rPr>
          <w:rFonts w:cstheme="minorHAnsi"/>
          <w:sz w:val="24"/>
          <w:szCs w:val="24"/>
        </w:rPr>
        <w:t xml:space="preserve"> </w:t>
      </w:r>
      <w:r w:rsidR="0006668A">
        <w:rPr>
          <w:rFonts w:cstheme="minorHAnsi"/>
          <w:sz w:val="24"/>
          <w:szCs w:val="24"/>
        </w:rPr>
        <w:t xml:space="preserve">of high repute </w:t>
      </w:r>
      <w:r w:rsidR="0006668A" w:rsidRPr="0089008C">
        <w:rPr>
          <w:rFonts w:cstheme="minorHAnsi"/>
          <w:sz w:val="24"/>
          <w:szCs w:val="24"/>
        </w:rPr>
        <w:t xml:space="preserve">like Foucault </w:t>
      </w:r>
      <w:r w:rsidR="00966EF0">
        <w:rPr>
          <w:rFonts w:cstheme="minorHAnsi"/>
          <w:sz w:val="24"/>
          <w:szCs w:val="24"/>
        </w:rPr>
        <w:t>can</w:t>
      </w:r>
      <w:r w:rsidR="0006668A" w:rsidRPr="0089008C">
        <w:rPr>
          <w:rFonts w:cstheme="minorHAnsi"/>
          <w:sz w:val="24"/>
          <w:szCs w:val="24"/>
        </w:rPr>
        <w:t xml:space="preserve"> miss out the fundamental issue of the gendering of society. </w:t>
      </w:r>
      <w:r w:rsidR="0006668A">
        <w:rPr>
          <w:rFonts w:cstheme="minorHAnsi"/>
          <w:sz w:val="24"/>
          <w:szCs w:val="24"/>
        </w:rPr>
        <w:t>Yet although g</w:t>
      </w:r>
      <w:r w:rsidR="0006668A" w:rsidRPr="0089008C">
        <w:rPr>
          <w:rFonts w:cstheme="minorHAnsi"/>
          <w:sz w:val="24"/>
          <w:szCs w:val="24"/>
        </w:rPr>
        <w:t xml:space="preserve">ender </w:t>
      </w:r>
      <w:r w:rsidR="0006668A">
        <w:rPr>
          <w:rFonts w:cstheme="minorHAnsi"/>
          <w:sz w:val="24"/>
          <w:szCs w:val="24"/>
        </w:rPr>
        <w:t xml:space="preserve">is </w:t>
      </w:r>
      <w:r w:rsidR="0006668A" w:rsidRPr="0089008C">
        <w:rPr>
          <w:rFonts w:cstheme="minorHAnsi"/>
          <w:sz w:val="24"/>
          <w:szCs w:val="24"/>
        </w:rPr>
        <w:t xml:space="preserve">now </w:t>
      </w:r>
      <w:r w:rsidR="0006668A">
        <w:rPr>
          <w:rFonts w:cstheme="minorHAnsi"/>
          <w:sz w:val="24"/>
          <w:szCs w:val="24"/>
        </w:rPr>
        <w:t xml:space="preserve">an </w:t>
      </w:r>
      <w:r w:rsidR="0006668A" w:rsidRPr="0089008C">
        <w:rPr>
          <w:rFonts w:cstheme="minorHAnsi"/>
          <w:sz w:val="24"/>
          <w:szCs w:val="24"/>
        </w:rPr>
        <w:t xml:space="preserve">established perspective, </w:t>
      </w:r>
      <w:r w:rsidR="0006668A">
        <w:rPr>
          <w:rFonts w:cstheme="minorHAnsi"/>
          <w:sz w:val="24"/>
          <w:szCs w:val="24"/>
        </w:rPr>
        <w:t>it is still</w:t>
      </w:r>
      <w:r w:rsidR="0006668A" w:rsidRPr="0089008C">
        <w:rPr>
          <w:rFonts w:cstheme="minorHAnsi"/>
          <w:sz w:val="24"/>
          <w:szCs w:val="24"/>
        </w:rPr>
        <w:t xml:space="preserve"> often sidelined. </w:t>
      </w:r>
      <w:r w:rsidR="0006668A">
        <w:rPr>
          <w:rFonts w:cstheme="minorHAnsi"/>
          <w:sz w:val="24"/>
          <w:szCs w:val="24"/>
        </w:rPr>
        <w:t>The m</w:t>
      </w:r>
      <w:r w:rsidR="0006668A" w:rsidRPr="0089008C">
        <w:rPr>
          <w:rFonts w:cstheme="minorHAnsi"/>
          <w:sz w:val="24"/>
          <w:szCs w:val="24"/>
        </w:rPr>
        <w:t xml:space="preserve">asculine pronoun still predominates and this skews </w:t>
      </w:r>
      <w:r w:rsidR="0006668A">
        <w:rPr>
          <w:rFonts w:cstheme="minorHAnsi"/>
          <w:sz w:val="24"/>
          <w:szCs w:val="24"/>
        </w:rPr>
        <w:t xml:space="preserve">our </w:t>
      </w:r>
      <w:r w:rsidR="0006668A" w:rsidRPr="0089008C">
        <w:rPr>
          <w:rFonts w:cstheme="minorHAnsi"/>
          <w:sz w:val="24"/>
          <w:szCs w:val="24"/>
        </w:rPr>
        <w:t xml:space="preserve">understanding. </w:t>
      </w:r>
      <w:r w:rsidR="001A76B5" w:rsidRPr="0089008C">
        <w:rPr>
          <w:rFonts w:cstheme="minorHAnsi"/>
          <w:sz w:val="24"/>
          <w:szCs w:val="24"/>
        </w:rPr>
        <w:t>We believe that history is perceived differently and, most importantly, more fully through a gender lens</w:t>
      </w:r>
      <w:r w:rsidR="0006668A">
        <w:rPr>
          <w:rFonts w:cstheme="minorHAnsi"/>
          <w:sz w:val="24"/>
          <w:szCs w:val="24"/>
        </w:rPr>
        <w:t xml:space="preserve"> and need to dispel the m</w:t>
      </w:r>
      <w:r w:rsidR="001921AB" w:rsidRPr="0089008C">
        <w:rPr>
          <w:rFonts w:cstheme="minorHAnsi"/>
          <w:sz w:val="24"/>
          <w:szCs w:val="24"/>
        </w:rPr>
        <w:t>yths of history</w:t>
      </w:r>
      <w:r w:rsidR="0006668A">
        <w:rPr>
          <w:rFonts w:cstheme="minorHAnsi"/>
          <w:sz w:val="24"/>
          <w:szCs w:val="24"/>
        </w:rPr>
        <w:t xml:space="preserve"> which say otherwise. How we do this </w:t>
      </w:r>
      <w:r>
        <w:rPr>
          <w:rFonts w:cstheme="minorHAnsi"/>
          <w:sz w:val="24"/>
          <w:szCs w:val="24"/>
        </w:rPr>
        <w:t xml:space="preserve">in the future </w:t>
      </w:r>
      <w:r w:rsidR="0006668A">
        <w:rPr>
          <w:rFonts w:cstheme="minorHAnsi"/>
          <w:sz w:val="24"/>
          <w:szCs w:val="24"/>
        </w:rPr>
        <w:t xml:space="preserve">is </w:t>
      </w:r>
      <w:r w:rsidR="00966EF0">
        <w:rPr>
          <w:rFonts w:cstheme="minorHAnsi"/>
          <w:sz w:val="24"/>
          <w:szCs w:val="24"/>
        </w:rPr>
        <w:t>the fundamental issue for the SWGG</w:t>
      </w:r>
      <w:r w:rsidR="0006668A">
        <w:rPr>
          <w:rFonts w:cstheme="minorHAnsi"/>
          <w:sz w:val="24"/>
          <w:szCs w:val="24"/>
        </w:rPr>
        <w:t>.</w:t>
      </w:r>
      <w:r w:rsidR="00A55FBD">
        <w:rPr>
          <w:rFonts w:cstheme="minorHAnsi"/>
          <w:sz w:val="24"/>
          <w:szCs w:val="24"/>
        </w:rPr>
        <w:t xml:space="preserve"> </w:t>
      </w:r>
      <w:r w:rsidR="00A55FBD" w:rsidRPr="00A55FBD">
        <w:rPr>
          <w:rFonts w:cstheme="minorHAnsi"/>
          <w:color w:val="FF0000"/>
          <w:sz w:val="24"/>
          <w:szCs w:val="24"/>
        </w:rPr>
        <w:t>[PPT</w:t>
      </w:r>
      <w:r w:rsidR="00966EF0">
        <w:rPr>
          <w:rFonts w:cstheme="minorHAnsi"/>
          <w:color w:val="FF0000"/>
          <w:sz w:val="24"/>
          <w:szCs w:val="24"/>
        </w:rPr>
        <w:t>31</w:t>
      </w:r>
      <w:r w:rsidR="00A55FBD" w:rsidRPr="00A55FBD">
        <w:rPr>
          <w:rFonts w:cstheme="minorHAnsi"/>
          <w:color w:val="FF0000"/>
          <w:sz w:val="24"/>
          <w:szCs w:val="24"/>
        </w:rPr>
        <w:t xml:space="preserve"> Kate and Kay]</w:t>
      </w:r>
    </w:p>
    <w:p w:rsidR="001921AB" w:rsidRPr="0089008C" w:rsidRDefault="001921AB" w:rsidP="00D42784">
      <w:pPr>
        <w:pStyle w:val="NoSpacing"/>
        <w:spacing w:line="276" w:lineRule="auto"/>
        <w:rPr>
          <w:rFonts w:cstheme="minorHAnsi"/>
          <w:sz w:val="24"/>
          <w:szCs w:val="24"/>
        </w:rPr>
      </w:pPr>
    </w:p>
    <w:p w:rsidR="001921AB" w:rsidRPr="0089008C" w:rsidRDefault="001921AB" w:rsidP="00D42784">
      <w:pPr>
        <w:rPr>
          <w:rFonts w:cstheme="minorHAnsi"/>
          <w:sz w:val="24"/>
          <w:szCs w:val="24"/>
        </w:rPr>
      </w:pPr>
    </w:p>
    <w:sectPr w:rsidR="001921AB" w:rsidRPr="0089008C" w:rsidSect="007C3D72">
      <w:head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9F6" w:rsidRDefault="00A939F6" w:rsidP="001921AB">
      <w:pPr>
        <w:spacing w:after="0" w:line="240" w:lineRule="auto"/>
      </w:pPr>
      <w:r>
        <w:separator/>
      </w:r>
    </w:p>
  </w:endnote>
  <w:endnote w:type="continuationSeparator" w:id="0">
    <w:p w:rsidR="00A939F6" w:rsidRDefault="00A939F6" w:rsidP="001921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9F6" w:rsidRDefault="00A939F6" w:rsidP="001921AB">
      <w:pPr>
        <w:spacing w:after="0" w:line="240" w:lineRule="auto"/>
      </w:pPr>
      <w:r>
        <w:separator/>
      </w:r>
    </w:p>
  </w:footnote>
  <w:footnote w:type="continuationSeparator" w:id="0">
    <w:p w:rsidR="00A939F6" w:rsidRDefault="00A939F6" w:rsidP="001921AB">
      <w:pPr>
        <w:spacing w:after="0" w:line="240" w:lineRule="auto"/>
      </w:pPr>
      <w:r>
        <w:continuationSeparator/>
      </w:r>
    </w:p>
  </w:footnote>
  <w:footnote w:id="1">
    <w:p w:rsidR="00042E84" w:rsidRPr="006B49E6" w:rsidRDefault="00042E84" w:rsidP="009C6647">
      <w:pPr>
        <w:pStyle w:val="NoSpacing"/>
        <w:rPr>
          <w:rFonts w:cstheme="minorHAnsi"/>
          <w:sz w:val="20"/>
          <w:szCs w:val="20"/>
        </w:rPr>
      </w:pPr>
      <w:r w:rsidRPr="00876CD2">
        <w:rPr>
          <w:rStyle w:val="FootnoteReference"/>
          <w:rFonts w:cstheme="minorHAnsi"/>
          <w:sz w:val="20"/>
          <w:szCs w:val="20"/>
        </w:rPr>
        <w:footnoteRef/>
      </w:r>
      <w:r w:rsidRPr="00876CD2">
        <w:rPr>
          <w:rFonts w:cstheme="minorHAnsi"/>
          <w:sz w:val="20"/>
          <w:szCs w:val="20"/>
        </w:rPr>
        <w:t xml:space="preserve"> </w:t>
      </w:r>
      <w:r w:rsidRPr="006B49E6">
        <w:rPr>
          <w:rFonts w:cstheme="minorHAnsi"/>
          <w:sz w:val="20"/>
          <w:szCs w:val="20"/>
        </w:rPr>
        <w:t xml:space="preserve">See Caroline Bowden, ‘Parental Attitudes towards the Education of Girls in late Sixteenth and early Seventeenth-Century England’, </w:t>
      </w:r>
      <w:r w:rsidRPr="006B49E6">
        <w:rPr>
          <w:rFonts w:cstheme="minorHAnsi"/>
          <w:i/>
          <w:sz w:val="20"/>
          <w:szCs w:val="20"/>
        </w:rPr>
        <w:t>Paedagogica Historica</w:t>
      </w:r>
      <w:r w:rsidRPr="006B49E6">
        <w:rPr>
          <w:rFonts w:cstheme="minorHAnsi"/>
          <w:sz w:val="20"/>
          <w:szCs w:val="20"/>
        </w:rPr>
        <w:t xml:space="preserve">, Supplementary Series II (1996): 105-24; Geoffrey Giles, ‘Straight Talk for Nazi Youth. The Attempt to transmit Cultural Norms’, </w:t>
      </w:r>
      <w:r w:rsidRPr="006B49E6">
        <w:rPr>
          <w:rFonts w:cstheme="minorHAnsi"/>
          <w:i/>
          <w:sz w:val="20"/>
          <w:szCs w:val="20"/>
        </w:rPr>
        <w:t>Paedagogica Historica</w:t>
      </w:r>
      <w:r w:rsidRPr="006B49E6">
        <w:rPr>
          <w:rFonts w:cstheme="minorHAnsi"/>
          <w:sz w:val="20"/>
          <w:szCs w:val="20"/>
        </w:rPr>
        <w:t>, Supplementary Series II (1996): 305-18</w:t>
      </w:r>
    </w:p>
    <w:p w:rsidR="00042E84" w:rsidRPr="00876CD2" w:rsidRDefault="00042E84">
      <w:pPr>
        <w:pStyle w:val="FootnoteText"/>
        <w:rPr>
          <w:rFonts w:cstheme="minorHAnsi"/>
        </w:rPr>
      </w:pPr>
    </w:p>
  </w:footnote>
  <w:footnote w:id="2">
    <w:p w:rsidR="00042E84" w:rsidRPr="00876CD2" w:rsidRDefault="00042E84">
      <w:pPr>
        <w:pStyle w:val="FootnoteText"/>
        <w:rPr>
          <w:rFonts w:cstheme="minorHAnsi"/>
        </w:rPr>
      </w:pPr>
      <w:r w:rsidRPr="00876CD2">
        <w:rPr>
          <w:rStyle w:val="FootnoteReference"/>
          <w:rFonts w:cstheme="minorHAnsi"/>
        </w:rPr>
        <w:footnoteRef/>
      </w:r>
      <w:r w:rsidRPr="00876CD2">
        <w:rPr>
          <w:rFonts w:cstheme="minorHAnsi"/>
        </w:rPr>
        <w:t xml:space="preserve"> Geoffrey Giles (</w:t>
      </w:r>
      <w:proofErr w:type="spellStart"/>
      <w:r w:rsidRPr="00876CD2">
        <w:rPr>
          <w:rFonts w:cstheme="minorHAnsi"/>
        </w:rPr>
        <w:t>ed</w:t>
      </w:r>
      <w:proofErr w:type="spellEnd"/>
      <w:r w:rsidRPr="00876CD2">
        <w:rPr>
          <w:rFonts w:cstheme="minorHAnsi"/>
        </w:rPr>
        <w:t xml:space="preserve">), </w:t>
      </w:r>
      <w:r w:rsidRPr="00876CD2">
        <w:rPr>
          <w:rFonts w:cstheme="minorHAnsi"/>
          <w:i/>
          <w:iCs/>
        </w:rPr>
        <w:t>Proceedings of the Meeting of the International Standing Conference for the History of Education at the 18</w:t>
      </w:r>
      <w:r w:rsidRPr="00876CD2">
        <w:rPr>
          <w:rFonts w:cstheme="minorHAnsi"/>
          <w:i/>
          <w:iCs/>
          <w:vertAlign w:val="superscript"/>
        </w:rPr>
        <w:t>th</w:t>
      </w:r>
      <w:r w:rsidRPr="00876CD2">
        <w:rPr>
          <w:rFonts w:cstheme="minorHAnsi"/>
          <w:i/>
          <w:iCs/>
        </w:rPr>
        <w:t xml:space="preserve"> International Congress of Historical Sciences, Montreal, 2 September, 1995</w:t>
      </w:r>
    </w:p>
  </w:footnote>
  <w:footnote w:id="3">
    <w:p w:rsidR="00042E84" w:rsidRPr="00876CD2" w:rsidRDefault="00042E84" w:rsidP="00675BF9">
      <w:pPr>
        <w:autoSpaceDE w:val="0"/>
        <w:autoSpaceDN w:val="0"/>
        <w:adjustRightInd w:val="0"/>
        <w:spacing w:after="0" w:line="240" w:lineRule="auto"/>
        <w:rPr>
          <w:rFonts w:cstheme="minorHAnsi"/>
          <w:i/>
          <w:iCs/>
          <w:sz w:val="20"/>
          <w:szCs w:val="20"/>
        </w:rPr>
      </w:pPr>
      <w:r w:rsidRPr="00876CD2">
        <w:rPr>
          <w:rStyle w:val="FootnoteReference"/>
          <w:rFonts w:cstheme="minorHAnsi"/>
          <w:sz w:val="20"/>
          <w:szCs w:val="20"/>
        </w:rPr>
        <w:footnoteRef/>
      </w:r>
      <w:r w:rsidRPr="00876CD2">
        <w:rPr>
          <w:rFonts w:cstheme="minorHAnsi"/>
          <w:sz w:val="20"/>
          <w:szCs w:val="20"/>
        </w:rPr>
        <w:t xml:space="preserve"> Geoffrey Giles (ed.), </w:t>
      </w:r>
      <w:r w:rsidRPr="00876CD2">
        <w:rPr>
          <w:rFonts w:cstheme="minorHAnsi"/>
          <w:i/>
          <w:iCs/>
          <w:sz w:val="20"/>
          <w:szCs w:val="20"/>
        </w:rPr>
        <w:t>Proceedings of the Meeting of the Standing Working Group on Gender and the History of Education</w:t>
      </w:r>
      <w:r w:rsidRPr="00876CD2">
        <w:rPr>
          <w:rFonts w:cstheme="minorHAnsi"/>
          <w:sz w:val="20"/>
          <w:szCs w:val="20"/>
        </w:rPr>
        <w:t xml:space="preserve"> August 1996, Krakow, Poland, at ISCHE XVIII</w:t>
      </w:r>
    </w:p>
    <w:p w:rsidR="00042E84" w:rsidRPr="00876CD2" w:rsidRDefault="00042E84">
      <w:pPr>
        <w:pStyle w:val="FootnoteText"/>
        <w:rPr>
          <w:rFonts w:cstheme="minorHAnsi"/>
        </w:rPr>
      </w:pPr>
    </w:p>
  </w:footnote>
  <w:footnote w:id="4">
    <w:p w:rsidR="00042E84" w:rsidRPr="00876CD2" w:rsidRDefault="00042E84">
      <w:pPr>
        <w:pStyle w:val="FootnoteText"/>
        <w:rPr>
          <w:rFonts w:cstheme="minorHAnsi"/>
        </w:rPr>
      </w:pPr>
      <w:r w:rsidRPr="00876CD2">
        <w:rPr>
          <w:rStyle w:val="FootnoteReference"/>
          <w:rFonts w:cstheme="minorHAnsi"/>
        </w:rPr>
        <w:footnoteRef/>
      </w:r>
      <w:r w:rsidRPr="00876CD2">
        <w:rPr>
          <w:rFonts w:cstheme="minorHAnsi"/>
        </w:rPr>
        <w:t xml:space="preserve"> See the ISCHE and ANZHES programmes – </w:t>
      </w:r>
      <w:r w:rsidRPr="00876CD2">
        <w:rPr>
          <w:rFonts w:cstheme="minorHAnsi"/>
          <w:lang w:val="de-DE"/>
        </w:rPr>
        <w:t>Dublin, 1997 (Faiths and Education);</w:t>
      </w:r>
      <w:r w:rsidRPr="00876CD2">
        <w:rPr>
          <w:rFonts w:cstheme="minorHAnsi"/>
        </w:rPr>
        <w:t xml:space="preserve"> </w:t>
      </w:r>
      <w:r w:rsidRPr="00876CD2">
        <w:rPr>
          <w:rFonts w:cstheme="minorHAnsi"/>
          <w:lang w:val="de-DE"/>
        </w:rPr>
        <w:t>Leuven, 1998 (The Visual in the Making of Educational Space through History); Sydney, 1999</w:t>
      </w:r>
      <w:r w:rsidRPr="00876CD2">
        <w:rPr>
          <w:rFonts w:cstheme="minorHAnsi"/>
          <w:color w:val="FF0000"/>
          <w:lang w:val="de-DE"/>
        </w:rPr>
        <w:t xml:space="preserve"> </w:t>
      </w:r>
      <w:r w:rsidRPr="00876CD2">
        <w:rPr>
          <w:rFonts w:cstheme="minorHAnsi"/>
          <w:lang w:val="de-DE"/>
        </w:rPr>
        <w:t>(Education and Ethnicity)</w:t>
      </w:r>
      <w:r w:rsidRPr="00876CD2">
        <w:rPr>
          <w:rFonts w:cstheme="minorHAnsi"/>
          <w:color w:val="FF0000"/>
          <w:lang w:val="de-DE"/>
        </w:rPr>
        <w:t xml:space="preserve"> </w:t>
      </w:r>
      <w:r w:rsidRPr="00876CD2">
        <w:rPr>
          <w:rFonts w:cstheme="minorHAnsi"/>
        </w:rPr>
        <w:t>for these.</w:t>
      </w:r>
    </w:p>
  </w:footnote>
  <w:footnote w:id="5">
    <w:p w:rsidR="00042E84" w:rsidRPr="00876CD2" w:rsidRDefault="00042E84">
      <w:pPr>
        <w:pStyle w:val="FootnoteText"/>
        <w:rPr>
          <w:rFonts w:cstheme="minorHAnsi"/>
        </w:rPr>
      </w:pPr>
      <w:r w:rsidRPr="00876CD2">
        <w:rPr>
          <w:rStyle w:val="FootnoteReference"/>
          <w:rFonts w:cstheme="minorHAnsi"/>
        </w:rPr>
        <w:footnoteRef/>
      </w:r>
      <w:r w:rsidRPr="00876CD2">
        <w:rPr>
          <w:rFonts w:cstheme="minorHAnsi"/>
        </w:rPr>
        <w:t xml:space="preserve"> See the ISCHE programmes, </w:t>
      </w:r>
      <w:r w:rsidRPr="00876CD2">
        <w:rPr>
          <w:rFonts w:cstheme="minorHAnsi"/>
          <w:lang w:val="de-DE"/>
        </w:rPr>
        <w:t>Alcala, 2000 (Books in the Educational System; 8 papers), Birmingham 2001 (Urbanisationa and Education; 12), Paris 2002 (Secondary Education; 15), Brazil 2003 (School and Modernity), Geneva 2004 (New Education)</w:t>
      </w:r>
      <w:r w:rsidRPr="00876CD2">
        <w:rPr>
          <w:rFonts w:cstheme="minorHAnsi"/>
        </w:rPr>
        <w:t xml:space="preserve"> for these.</w:t>
      </w:r>
    </w:p>
  </w:footnote>
  <w:footnote w:id="6">
    <w:p w:rsidR="00042E84" w:rsidRPr="001828E5" w:rsidRDefault="00042E84" w:rsidP="001828E5">
      <w:pPr>
        <w:pStyle w:val="NoSpacing"/>
        <w:rPr>
          <w:rFonts w:cstheme="minorHAnsi"/>
        </w:rPr>
      </w:pPr>
      <w:r w:rsidRPr="00876CD2">
        <w:rPr>
          <w:rStyle w:val="FootnoteReference"/>
          <w:rFonts w:cstheme="minorHAnsi"/>
          <w:sz w:val="20"/>
          <w:szCs w:val="20"/>
        </w:rPr>
        <w:footnoteRef/>
      </w:r>
      <w:r w:rsidRPr="00876CD2">
        <w:rPr>
          <w:rFonts w:cstheme="minorHAnsi"/>
          <w:sz w:val="20"/>
          <w:szCs w:val="20"/>
        </w:rPr>
        <w:t xml:space="preserve"> ISCHE programme Paris, 2002</w:t>
      </w:r>
      <w:r w:rsidRPr="001828E5">
        <w:rPr>
          <w:rFonts w:cstheme="minorHAnsi"/>
          <w:sz w:val="20"/>
          <w:szCs w:val="20"/>
        </w:rPr>
        <w:t xml:space="preserve">; </w:t>
      </w:r>
      <w:proofErr w:type="spellStart"/>
      <w:r w:rsidRPr="001828E5">
        <w:rPr>
          <w:rFonts w:cstheme="minorHAnsi"/>
          <w:sz w:val="20"/>
          <w:szCs w:val="20"/>
        </w:rPr>
        <w:t>Simonetta</w:t>
      </w:r>
      <w:proofErr w:type="spellEnd"/>
      <w:r w:rsidRPr="001828E5">
        <w:rPr>
          <w:rFonts w:cstheme="minorHAnsi"/>
          <w:sz w:val="20"/>
          <w:szCs w:val="20"/>
        </w:rPr>
        <w:t xml:space="preserve"> </w:t>
      </w:r>
      <w:proofErr w:type="spellStart"/>
      <w:r w:rsidRPr="001828E5">
        <w:rPr>
          <w:rFonts w:cstheme="minorHAnsi"/>
          <w:sz w:val="20"/>
          <w:szCs w:val="20"/>
        </w:rPr>
        <w:t>Soldani</w:t>
      </w:r>
      <w:proofErr w:type="spellEnd"/>
      <w:r w:rsidRPr="001828E5">
        <w:rPr>
          <w:rFonts w:cstheme="minorHAnsi"/>
          <w:sz w:val="20"/>
          <w:szCs w:val="20"/>
        </w:rPr>
        <w:t>, ‘</w:t>
      </w:r>
      <w:proofErr w:type="spellStart"/>
      <w:r w:rsidRPr="001828E5">
        <w:rPr>
          <w:rFonts w:cstheme="minorHAnsi"/>
          <w:sz w:val="20"/>
          <w:szCs w:val="20"/>
        </w:rPr>
        <w:t>S’emparer</w:t>
      </w:r>
      <w:proofErr w:type="spellEnd"/>
      <w:r w:rsidRPr="001828E5">
        <w:rPr>
          <w:rFonts w:cstheme="minorHAnsi"/>
          <w:sz w:val="20"/>
          <w:szCs w:val="20"/>
        </w:rPr>
        <w:t xml:space="preserve"> de </w:t>
      </w:r>
      <w:proofErr w:type="spellStart"/>
      <w:r w:rsidRPr="001828E5">
        <w:rPr>
          <w:rFonts w:cstheme="minorHAnsi"/>
          <w:sz w:val="20"/>
          <w:szCs w:val="20"/>
        </w:rPr>
        <w:t>l’avenir</w:t>
      </w:r>
      <w:proofErr w:type="spellEnd"/>
      <w:r w:rsidRPr="001828E5">
        <w:rPr>
          <w:rFonts w:cstheme="minorHAnsi"/>
          <w:sz w:val="20"/>
          <w:szCs w:val="20"/>
        </w:rPr>
        <w:t xml:space="preserve">: les </w:t>
      </w:r>
      <w:proofErr w:type="spellStart"/>
      <w:r w:rsidRPr="001828E5">
        <w:rPr>
          <w:rFonts w:cstheme="minorHAnsi"/>
          <w:sz w:val="20"/>
          <w:szCs w:val="20"/>
        </w:rPr>
        <w:t>jeunes</w:t>
      </w:r>
      <w:proofErr w:type="spellEnd"/>
      <w:r w:rsidRPr="001828E5">
        <w:rPr>
          <w:rFonts w:cstheme="minorHAnsi"/>
          <w:sz w:val="20"/>
          <w:szCs w:val="20"/>
        </w:rPr>
        <w:t xml:space="preserve"> </w:t>
      </w:r>
      <w:proofErr w:type="spellStart"/>
      <w:r w:rsidRPr="001828E5">
        <w:rPr>
          <w:rFonts w:cstheme="minorHAnsi"/>
          <w:sz w:val="20"/>
          <w:szCs w:val="20"/>
        </w:rPr>
        <w:t>filles</w:t>
      </w:r>
      <w:proofErr w:type="spellEnd"/>
      <w:r w:rsidRPr="001828E5">
        <w:rPr>
          <w:rFonts w:cstheme="minorHAnsi"/>
          <w:sz w:val="20"/>
          <w:szCs w:val="20"/>
        </w:rPr>
        <w:t xml:space="preserve"> </w:t>
      </w:r>
      <w:proofErr w:type="spellStart"/>
      <w:r w:rsidRPr="001828E5">
        <w:rPr>
          <w:rFonts w:cstheme="minorHAnsi"/>
          <w:sz w:val="20"/>
          <w:szCs w:val="20"/>
        </w:rPr>
        <w:t>dans</w:t>
      </w:r>
      <w:proofErr w:type="spellEnd"/>
      <w:r w:rsidRPr="001828E5">
        <w:rPr>
          <w:rFonts w:cstheme="minorHAnsi"/>
          <w:sz w:val="20"/>
          <w:szCs w:val="20"/>
        </w:rPr>
        <w:t xml:space="preserve"> les </w:t>
      </w:r>
      <w:proofErr w:type="spellStart"/>
      <w:r w:rsidRPr="001828E5">
        <w:rPr>
          <w:rFonts w:cstheme="minorHAnsi"/>
          <w:sz w:val="20"/>
          <w:szCs w:val="20"/>
        </w:rPr>
        <w:t>écoles</w:t>
      </w:r>
      <w:proofErr w:type="spellEnd"/>
      <w:r w:rsidRPr="001828E5">
        <w:rPr>
          <w:rFonts w:cstheme="minorHAnsi"/>
          <w:sz w:val="20"/>
          <w:szCs w:val="20"/>
        </w:rPr>
        <w:t xml:space="preserve"> </w:t>
      </w:r>
      <w:proofErr w:type="spellStart"/>
      <w:r w:rsidRPr="001828E5">
        <w:rPr>
          <w:rFonts w:cstheme="minorHAnsi"/>
          <w:sz w:val="20"/>
          <w:szCs w:val="20"/>
        </w:rPr>
        <w:t>normales</w:t>
      </w:r>
      <w:proofErr w:type="spellEnd"/>
      <w:r w:rsidRPr="001828E5">
        <w:rPr>
          <w:rFonts w:cstheme="minorHAnsi"/>
          <w:sz w:val="20"/>
          <w:szCs w:val="20"/>
        </w:rPr>
        <w:t xml:space="preserve"> </w:t>
      </w:r>
      <w:proofErr w:type="gramStart"/>
      <w:r w:rsidRPr="001828E5">
        <w:rPr>
          <w:rFonts w:cstheme="minorHAnsi"/>
          <w:sz w:val="20"/>
          <w:szCs w:val="20"/>
        </w:rPr>
        <w:t>et</w:t>
      </w:r>
      <w:proofErr w:type="gramEnd"/>
      <w:r w:rsidRPr="001828E5">
        <w:rPr>
          <w:rFonts w:cstheme="minorHAnsi"/>
          <w:sz w:val="20"/>
          <w:szCs w:val="20"/>
        </w:rPr>
        <w:t xml:space="preserve"> les </w:t>
      </w:r>
      <w:proofErr w:type="spellStart"/>
      <w:r w:rsidRPr="001828E5">
        <w:rPr>
          <w:rFonts w:cstheme="minorHAnsi"/>
          <w:sz w:val="20"/>
          <w:szCs w:val="20"/>
        </w:rPr>
        <w:t>établissements</w:t>
      </w:r>
      <w:proofErr w:type="spellEnd"/>
      <w:r w:rsidRPr="001828E5">
        <w:rPr>
          <w:rFonts w:cstheme="minorHAnsi"/>
          <w:sz w:val="20"/>
          <w:szCs w:val="20"/>
        </w:rPr>
        <w:t xml:space="preserve"> </w:t>
      </w:r>
      <w:proofErr w:type="spellStart"/>
      <w:r w:rsidRPr="001828E5">
        <w:rPr>
          <w:rFonts w:cstheme="minorHAnsi"/>
          <w:sz w:val="20"/>
          <w:szCs w:val="20"/>
        </w:rPr>
        <w:t>secondaires</w:t>
      </w:r>
      <w:proofErr w:type="spellEnd"/>
      <w:r w:rsidRPr="001828E5">
        <w:rPr>
          <w:rFonts w:cstheme="minorHAnsi"/>
          <w:sz w:val="20"/>
          <w:szCs w:val="20"/>
        </w:rPr>
        <w:t xml:space="preserve"> de </w:t>
      </w:r>
      <w:proofErr w:type="spellStart"/>
      <w:r w:rsidRPr="001828E5">
        <w:rPr>
          <w:rFonts w:cstheme="minorHAnsi"/>
          <w:sz w:val="20"/>
          <w:szCs w:val="20"/>
        </w:rPr>
        <w:t>l’Italier</w:t>
      </w:r>
      <w:proofErr w:type="spellEnd"/>
      <w:r w:rsidRPr="001828E5">
        <w:rPr>
          <w:rFonts w:cstheme="minorHAnsi"/>
          <w:sz w:val="20"/>
          <w:szCs w:val="20"/>
        </w:rPr>
        <w:t xml:space="preserve"> </w:t>
      </w:r>
      <w:proofErr w:type="spellStart"/>
      <w:r w:rsidRPr="001828E5">
        <w:rPr>
          <w:rFonts w:cstheme="minorHAnsi"/>
          <w:sz w:val="20"/>
          <w:szCs w:val="20"/>
        </w:rPr>
        <w:t>unifiée</w:t>
      </w:r>
      <w:proofErr w:type="spellEnd"/>
      <w:r w:rsidRPr="001828E5">
        <w:rPr>
          <w:rFonts w:cstheme="minorHAnsi"/>
          <w:sz w:val="20"/>
          <w:szCs w:val="20"/>
        </w:rPr>
        <w:t xml:space="preserve">’, </w:t>
      </w:r>
      <w:r w:rsidRPr="001828E5">
        <w:rPr>
          <w:rFonts w:cstheme="minorHAnsi"/>
          <w:i/>
          <w:sz w:val="20"/>
          <w:szCs w:val="20"/>
        </w:rPr>
        <w:t>Paedagogica Historica</w:t>
      </w:r>
      <w:r w:rsidRPr="001828E5">
        <w:rPr>
          <w:rFonts w:cstheme="minorHAnsi"/>
          <w:sz w:val="20"/>
          <w:szCs w:val="20"/>
        </w:rPr>
        <w:t xml:space="preserve"> 40, nos. I-2 (2004): 123-42</w:t>
      </w:r>
    </w:p>
  </w:footnote>
  <w:footnote w:id="7">
    <w:p w:rsidR="00042E84" w:rsidRPr="001828E5" w:rsidRDefault="00042E84">
      <w:pPr>
        <w:pStyle w:val="FootnoteText"/>
        <w:rPr>
          <w:rFonts w:cstheme="minorHAnsi"/>
        </w:rPr>
      </w:pPr>
      <w:r w:rsidRPr="001828E5">
        <w:rPr>
          <w:rStyle w:val="FootnoteReference"/>
          <w:rFonts w:cstheme="minorHAnsi"/>
        </w:rPr>
        <w:footnoteRef/>
      </w:r>
      <w:r w:rsidRPr="001828E5">
        <w:rPr>
          <w:rFonts w:cstheme="minorHAnsi"/>
        </w:rPr>
        <w:t xml:space="preserve"> Mineke van Essen and Rebecca Rogers eds.</w:t>
      </w:r>
      <w:proofErr w:type="gramStart"/>
      <w:r w:rsidRPr="001828E5">
        <w:rPr>
          <w:rFonts w:cstheme="minorHAnsi"/>
        </w:rPr>
        <w:t xml:space="preserve">,  </w:t>
      </w:r>
      <w:r w:rsidRPr="001828E5">
        <w:rPr>
          <w:rFonts w:cstheme="minorHAnsi"/>
          <w:i/>
        </w:rPr>
        <w:t>Les</w:t>
      </w:r>
      <w:proofErr w:type="gramEnd"/>
      <w:r w:rsidRPr="001828E5">
        <w:rPr>
          <w:rFonts w:cstheme="minorHAnsi"/>
          <w:i/>
        </w:rPr>
        <w:t xml:space="preserve"> </w:t>
      </w:r>
      <w:proofErr w:type="spellStart"/>
      <w:r w:rsidRPr="001828E5">
        <w:rPr>
          <w:rFonts w:cstheme="minorHAnsi"/>
          <w:i/>
        </w:rPr>
        <w:t>Enseignantes</w:t>
      </w:r>
      <w:proofErr w:type="spellEnd"/>
      <w:r w:rsidRPr="001828E5">
        <w:rPr>
          <w:rFonts w:cstheme="minorHAnsi"/>
          <w:i/>
        </w:rPr>
        <w:t xml:space="preserve">. Formations, </w:t>
      </w:r>
      <w:proofErr w:type="spellStart"/>
      <w:r w:rsidRPr="001828E5">
        <w:rPr>
          <w:rFonts w:cstheme="minorHAnsi"/>
          <w:i/>
        </w:rPr>
        <w:t>Identités</w:t>
      </w:r>
      <w:proofErr w:type="spellEnd"/>
      <w:r w:rsidRPr="001828E5">
        <w:rPr>
          <w:rFonts w:cstheme="minorHAnsi"/>
          <w:i/>
        </w:rPr>
        <w:t xml:space="preserve">, </w:t>
      </w:r>
      <w:proofErr w:type="spellStart"/>
      <w:r w:rsidRPr="001828E5">
        <w:rPr>
          <w:rFonts w:cstheme="minorHAnsi"/>
          <w:i/>
        </w:rPr>
        <w:t>Représentations</w:t>
      </w:r>
      <w:proofErr w:type="spellEnd"/>
      <w:r w:rsidRPr="001828E5">
        <w:rPr>
          <w:rFonts w:cstheme="minorHAnsi"/>
          <w:i/>
        </w:rPr>
        <w:t xml:space="preserve"> XIXᵉ –XX </w:t>
      </w:r>
      <w:proofErr w:type="gramStart"/>
      <w:r w:rsidRPr="001828E5">
        <w:rPr>
          <w:rFonts w:cstheme="minorHAnsi"/>
          <w:i/>
        </w:rPr>
        <w:t xml:space="preserve">ᵉ  </w:t>
      </w:r>
      <w:proofErr w:type="spellStart"/>
      <w:r w:rsidRPr="001828E5">
        <w:rPr>
          <w:rFonts w:cstheme="minorHAnsi"/>
          <w:i/>
        </w:rPr>
        <w:t>Siecles</w:t>
      </w:r>
      <w:proofErr w:type="spellEnd"/>
      <w:proofErr w:type="gramEnd"/>
      <w:r w:rsidRPr="001828E5">
        <w:rPr>
          <w:rFonts w:cstheme="minorHAnsi"/>
        </w:rPr>
        <w:t xml:space="preserve"> (Lyon: </w:t>
      </w:r>
      <w:proofErr w:type="spellStart"/>
      <w:r w:rsidRPr="001828E5">
        <w:rPr>
          <w:rFonts w:cstheme="minorHAnsi"/>
        </w:rPr>
        <w:t>Institut</w:t>
      </w:r>
      <w:proofErr w:type="spellEnd"/>
      <w:r w:rsidRPr="001828E5">
        <w:rPr>
          <w:rFonts w:cstheme="minorHAnsi"/>
        </w:rPr>
        <w:t xml:space="preserve"> National de </w:t>
      </w:r>
      <w:proofErr w:type="spellStart"/>
      <w:r w:rsidRPr="001828E5">
        <w:rPr>
          <w:rFonts w:cstheme="minorHAnsi"/>
        </w:rPr>
        <w:t>Recherche</w:t>
      </w:r>
      <w:proofErr w:type="spellEnd"/>
      <w:r w:rsidRPr="001828E5">
        <w:rPr>
          <w:rFonts w:cstheme="minorHAnsi"/>
        </w:rPr>
        <w:t xml:space="preserve"> </w:t>
      </w:r>
      <w:proofErr w:type="spellStart"/>
      <w:r w:rsidRPr="001828E5">
        <w:rPr>
          <w:rFonts w:cstheme="minorHAnsi"/>
        </w:rPr>
        <w:t>Pédagogique</w:t>
      </w:r>
      <w:proofErr w:type="spellEnd"/>
      <w:r w:rsidRPr="001828E5">
        <w:rPr>
          <w:rFonts w:cstheme="minorHAnsi"/>
        </w:rPr>
        <w:t>, 2003).</w:t>
      </w:r>
    </w:p>
  </w:footnote>
  <w:footnote w:id="8">
    <w:p w:rsidR="00042E84" w:rsidRPr="00876CD2" w:rsidRDefault="00042E84" w:rsidP="00863700">
      <w:pPr>
        <w:pStyle w:val="NoSpacing"/>
        <w:rPr>
          <w:rFonts w:cstheme="minorHAnsi"/>
          <w:sz w:val="20"/>
          <w:szCs w:val="20"/>
        </w:rPr>
      </w:pPr>
      <w:r w:rsidRPr="001828E5">
        <w:rPr>
          <w:rStyle w:val="FootnoteReference"/>
          <w:rFonts w:cstheme="minorHAnsi"/>
          <w:sz w:val="20"/>
          <w:szCs w:val="20"/>
        </w:rPr>
        <w:footnoteRef/>
      </w:r>
      <w:r w:rsidRPr="001828E5">
        <w:rPr>
          <w:rFonts w:cstheme="minorHAnsi"/>
          <w:sz w:val="20"/>
          <w:szCs w:val="20"/>
        </w:rPr>
        <w:t xml:space="preserve"> Marjorie Theobald, ‘The Afghan Children of </w:t>
      </w:r>
      <w:proofErr w:type="spellStart"/>
      <w:r w:rsidRPr="001828E5">
        <w:rPr>
          <w:rFonts w:cstheme="minorHAnsi"/>
          <w:sz w:val="20"/>
          <w:szCs w:val="20"/>
        </w:rPr>
        <w:t>Oodnadatta</w:t>
      </w:r>
      <w:proofErr w:type="spellEnd"/>
      <w:r w:rsidRPr="001828E5">
        <w:rPr>
          <w:rFonts w:cstheme="minorHAnsi"/>
          <w:sz w:val="20"/>
          <w:szCs w:val="20"/>
        </w:rPr>
        <w:t xml:space="preserve">: A Reflection on Gender, Ethnicity and Education in the Interwar Years’, Supplementary Series VII, 37, no.1,  </w:t>
      </w:r>
      <w:r w:rsidRPr="001828E5">
        <w:rPr>
          <w:rFonts w:cstheme="minorHAnsi"/>
          <w:i/>
          <w:sz w:val="20"/>
          <w:szCs w:val="20"/>
        </w:rPr>
        <w:t>Paedagogica Historica</w:t>
      </w:r>
      <w:r w:rsidRPr="001828E5">
        <w:rPr>
          <w:rFonts w:cstheme="minorHAnsi"/>
          <w:sz w:val="20"/>
          <w:szCs w:val="20"/>
        </w:rPr>
        <w:t xml:space="preserve">, (2001): 211-230; Kate Rousmaniere, ‘Being Margaret Haley, Chicago, 1903’, </w:t>
      </w:r>
      <w:r w:rsidRPr="001828E5">
        <w:rPr>
          <w:rFonts w:cstheme="minorHAnsi"/>
          <w:i/>
          <w:sz w:val="20"/>
          <w:szCs w:val="20"/>
        </w:rPr>
        <w:t>Paedagogica Historica</w:t>
      </w:r>
      <w:r w:rsidRPr="001828E5">
        <w:rPr>
          <w:rFonts w:cstheme="minorHAnsi"/>
          <w:sz w:val="20"/>
          <w:szCs w:val="20"/>
        </w:rPr>
        <w:t>, 39, nos. 1-2 (2003): 5-18;</w:t>
      </w:r>
      <w:r w:rsidRPr="00876CD2">
        <w:rPr>
          <w:rFonts w:cstheme="minorHAnsi"/>
          <w:b/>
          <w:color w:val="632423" w:themeColor="accent2" w:themeShade="80"/>
          <w:sz w:val="20"/>
          <w:szCs w:val="20"/>
        </w:rPr>
        <w:t xml:space="preserve"> </w:t>
      </w:r>
      <w:r w:rsidRPr="00876CD2">
        <w:rPr>
          <w:rFonts w:cstheme="minorHAnsi"/>
          <w:sz w:val="20"/>
          <w:szCs w:val="20"/>
        </w:rPr>
        <w:t>see ISCHE programmes for Sydney, 1999 and Birmingham, 2001.</w:t>
      </w:r>
    </w:p>
  </w:footnote>
  <w:footnote w:id="9">
    <w:p w:rsidR="00042E84" w:rsidRPr="00876CD2" w:rsidRDefault="00042E84">
      <w:pPr>
        <w:pStyle w:val="FootnoteText"/>
        <w:rPr>
          <w:rFonts w:cstheme="minorHAnsi"/>
        </w:rPr>
      </w:pPr>
      <w:r w:rsidRPr="00876CD2">
        <w:rPr>
          <w:rStyle w:val="FootnoteReference"/>
          <w:rFonts w:cstheme="minorHAnsi"/>
        </w:rPr>
        <w:footnoteRef/>
      </w:r>
      <w:r w:rsidRPr="00876CD2">
        <w:rPr>
          <w:rFonts w:cstheme="minorHAnsi"/>
        </w:rPr>
        <w:t xml:space="preserve"> </w:t>
      </w:r>
      <w:r w:rsidRPr="00876CD2">
        <w:rPr>
          <w:rFonts w:cstheme="minorHAnsi"/>
          <w:i/>
        </w:rPr>
        <w:t>Final Programme 19</w:t>
      </w:r>
      <w:r w:rsidRPr="00876CD2">
        <w:rPr>
          <w:rFonts w:cstheme="minorHAnsi"/>
          <w:i/>
          <w:vertAlign w:val="superscript"/>
        </w:rPr>
        <w:t>th</w:t>
      </w:r>
      <w:r w:rsidRPr="00876CD2">
        <w:rPr>
          <w:rFonts w:cstheme="minorHAnsi"/>
          <w:i/>
        </w:rPr>
        <w:t xml:space="preserve"> International Congress of Historical Sciences, </w:t>
      </w:r>
      <w:r w:rsidRPr="00876CD2">
        <w:rPr>
          <w:rFonts w:cstheme="minorHAnsi"/>
        </w:rPr>
        <w:t>( Oslo: University of Oslo, 2000), 82</w:t>
      </w:r>
    </w:p>
  </w:footnote>
  <w:footnote w:id="10">
    <w:p w:rsidR="00042E84" w:rsidRPr="00327FDC" w:rsidRDefault="00042E84" w:rsidP="00F839C1">
      <w:pPr>
        <w:pStyle w:val="NoSpacing"/>
        <w:rPr>
          <w:rFonts w:cstheme="minorHAnsi"/>
          <w:sz w:val="20"/>
          <w:szCs w:val="20"/>
        </w:rPr>
      </w:pPr>
      <w:r w:rsidRPr="00876CD2">
        <w:rPr>
          <w:rStyle w:val="FootnoteReference"/>
          <w:rFonts w:cstheme="minorHAnsi"/>
          <w:sz w:val="20"/>
          <w:szCs w:val="20"/>
        </w:rPr>
        <w:footnoteRef/>
      </w:r>
      <w:r w:rsidRPr="00876CD2">
        <w:rPr>
          <w:rFonts w:cstheme="minorHAnsi"/>
          <w:sz w:val="20"/>
          <w:szCs w:val="20"/>
        </w:rPr>
        <w:t xml:space="preserve"> </w:t>
      </w:r>
      <w:r w:rsidRPr="00327FDC">
        <w:rPr>
          <w:rFonts w:cstheme="minorHAnsi"/>
          <w:sz w:val="20"/>
          <w:szCs w:val="20"/>
        </w:rPr>
        <w:t xml:space="preserve">Malcolm Vick, ‘What does a Teacher look like?’, </w:t>
      </w:r>
      <w:r w:rsidRPr="00327FDC">
        <w:rPr>
          <w:rFonts w:cstheme="minorHAnsi"/>
          <w:i/>
          <w:sz w:val="20"/>
          <w:szCs w:val="20"/>
        </w:rPr>
        <w:t>Paedagogica Historica,</w:t>
      </w:r>
      <w:r w:rsidRPr="00327FDC">
        <w:rPr>
          <w:rFonts w:cstheme="minorHAnsi"/>
          <w:sz w:val="20"/>
          <w:szCs w:val="20"/>
        </w:rPr>
        <w:t xml:space="preserve"> 36, no. 1 (2000): 247-63, see 254</w:t>
      </w:r>
    </w:p>
  </w:footnote>
  <w:footnote w:id="11">
    <w:p w:rsidR="00042E84" w:rsidRPr="00327FDC" w:rsidRDefault="00042E84">
      <w:pPr>
        <w:pStyle w:val="FootnoteText"/>
        <w:rPr>
          <w:rFonts w:cstheme="minorHAnsi"/>
        </w:rPr>
      </w:pPr>
      <w:r w:rsidRPr="00327FDC">
        <w:rPr>
          <w:rStyle w:val="FootnoteReference"/>
          <w:rFonts w:cstheme="minorHAnsi"/>
        </w:rPr>
        <w:footnoteRef/>
      </w:r>
      <w:r w:rsidRPr="00327FDC">
        <w:rPr>
          <w:rFonts w:cstheme="minorHAnsi"/>
        </w:rPr>
        <w:t xml:space="preserve"> ‘Child-rearing Literature and the Reception of Individual Psychology in the Netherlands, 1930-1950: The Case of a Calvinist Pedagogue’, </w:t>
      </w:r>
      <w:r w:rsidRPr="00327FDC">
        <w:rPr>
          <w:rFonts w:cstheme="minorHAnsi"/>
          <w:i/>
        </w:rPr>
        <w:t>Paedagogica Historica</w:t>
      </w:r>
      <w:r w:rsidRPr="00327FDC">
        <w:rPr>
          <w:rFonts w:cstheme="minorHAnsi"/>
        </w:rPr>
        <w:t>, Supplementary Series III Part 2 (1998): 583-602</w:t>
      </w:r>
    </w:p>
  </w:footnote>
  <w:footnote w:id="12">
    <w:p w:rsidR="00042E84" w:rsidRPr="00876CD2" w:rsidRDefault="00042E84" w:rsidP="003C6F74">
      <w:pPr>
        <w:pStyle w:val="NoSpacing"/>
        <w:rPr>
          <w:rFonts w:cstheme="minorHAnsi"/>
          <w:sz w:val="20"/>
          <w:szCs w:val="20"/>
        </w:rPr>
      </w:pPr>
      <w:r w:rsidRPr="00876CD2">
        <w:rPr>
          <w:rStyle w:val="FootnoteReference"/>
          <w:rFonts w:cstheme="minorHAnsi"/>
          <w:sz w:val="20"/>
          <w:szCs w:val="20"/>
        </w:rPr>
        <w:footnoteRef/>
      </w:r>
      <w:r w:rsidRPr="00876CD2">
        <w:rPr>
          <w:rFonts w:cstheme="minorHAnsi"/>
          <w:sz w:val="20"/>
          <w:szCs w:val="20"/>
        </w:rPr>
        <w:t xml:space="preserve"> Willie Henderson, ‘Millicent Garrett Fawcett’s </w:t>
      </w:r>
      <w:r w:rsidRPr="00876CD2">
        <w:rPr>
          <w:rFonts w:cstheme="minorHAnsi"/>
          <w:i/>
          <w:sz w:val="20"/>
          <w:szCs w:val="20"/>
        </w:rPr>
        <w:t>Political Economy for Beginners</w:t>
      </w:r>
      <w:r w:rsidRPr="00876CD2">
        <w:rPr>
          <w:rFonts w:cstheme="minorHAnsi"/>
          <w:sz w:val="20"/>
          <w:szCs w:val="20"/>
        </w:rPr>
        <w:t xml:space="preserve">: An Evaluation’, </w:t>
      </w:r>
      <w:r w:rsidRPr="00876CD2">
        <w:rPr>
          <w:rFonts w:cstheme="minorHAnsi"/>
          <w:i/>
          <w:sz w:val="20"/>
          <w:szCs w:val="20"/>
        </w:rPr>
        <w:t>Paedagogica Historica</w:t>
      </w:r>
      <w:r w:rsidRPr="00876CD2">
        <w:rPr>
          <w:rFonts w:cstheme="minorHAnsi"/>
          <w:sz w:val="20"/>
          <w:szCs w:val="20"/>
        </w:rPr>
        <w:t>, 40, no. 4 (2004): 435-53</w:t>
      </w:r>
    </w:p>
  </w:footnote>
  <w:footnote w:id="13">
    <w:p w:rsidR="00042E84" w:rsidRPr="00327FDC" w:rsidRDefault="00042E84">
      <w:pPr>
        <w:pStyle w:val="FootnoteText"/>
        <w:rPr>
          <w:rFonts w:cstheme="minorHAnsi"/>
        </w:rPr>
      </w:pPr>
      <w:r w:rsidRPr="00876CD2">
        <w:rPr>
          <w:rStyle w:val="FootnoteReference"/>
          <w:rFonts w:cstheme="minorHAnsi"/>
        </w:rPr>
        <w:footnoteRef/>
      </w:r>
      <w:r w:rsidRPr="00876CD2">
        <w:rPr>
          <w:rFonts w:cstheme="minorHAnsi"/>
        </w:rPr>
        <w:t xml:space="preserve"> </w:t>
      </w:r>
      <w:r w:rsidRPr="00327FDC">
        <w:rPr>
          <w:rFonts w:cstheme="minorHAnsi"/>
          <w:i/>
        </w:rPr>
        <w:t>PH</w:t>
      </w:r>
      <w:r w:rsidRPr="00327FDC">
        <w:rPr>
          <w:rFonts w:cstheme="minorHAnsi"/>
        </w:rPr>
        <w:t xml:space="preserve"> Supplementary Series VII, 37 no. 1 (2001), editors Geoffrey Sherrington and Craig Campbell</w:t>
      </w:r>
    </w:p>
  </w:footnote>
  <w:footnote w:id="14">
    <w:p w:rsidR="00042E84" w:rsidRPr="00327FDC" w:rsidRDefault="00042E84">
      <w:pPr>
        <w:pStyle w:val="FootnoteText"/>
        <w:rPr>
          <w:rFonts w:cstheme="minorHAnsi"/>
        </w:rPr>
      </w:pPr>
      <w:r w:rsidRPr="00327FDC">
        <w:rPr>
          <w:rStyle w:val="FootnoteReference"/>
          <w:rFonts w:cstheme="minorHAnsi"/>
        </w:rPr>
        <w:footnoteRef/>
      </w:r>
      <w:r w:rsidRPr="00327FDC">
        <w:rPr>
          <w:rFonts w:cstheme="minorHAnsi"/>
        </w:rPr>
        <w:t xml:space="preserve"> </w:t>
      </w:r>
      <w:r w:rsidRPr="00327FDC">
        <w:rPr>
          <w:rFonts w:cstheme="minorHAnsi"/>
          <w:i/>
        </w:rPr>
        <w:t>PH</w:t>
      </w:r>
      <w:r w:rsidRPr="00327FDC">
        <w:rPr>
          <w:rFonts w:cstheme="minorHAnsi"/>
        </w:rPr>
        <w:t xml:space="preserve"> 39, nos. 1&amp;2, (2003), editors Ian Grosvenor and Ruth Watts</w:t>
      </w:r>
    </w:p>
  </w:footnote>
  <w:footnote w:id="15">
    <w:p w:rsidR="00042E84" w:rsidRDefault="00042E84">
      <w:pPr>
        <w:pStyle w:val="FootnoteText"/>
      </w:pPr>
      <w:r>
        <w:rPr>
          <w:rStyle w:val="FootnoteReference"/>
        </w:rPr>
        <w:footnoteRef/>
      </w:r>
      <w:r>
        <w:t xml:space="preserve"> See Umea ‘Technologies of the Word; Literacies in the History of Education’ Abstract Book, 2006</w:t>
      </w:r>
    </w:p>
  </w:footnote>
  <w:footnote w:id="16">
    <w:p w:rsidR="00042E84" w:rsidRPr="003F2512" w:rsidRDefault="00042E84" w:rsidP="009263CA">
      <w:pPr>
        <w:pStyle w:val="FootnoteText"/>
      </w:pPr>
      <w:r>
        <w:rPr>
          <w:rStyle w:val="FootnoteReference"/>
        </w:rPr>
        <w:footnoteRef/>
      </w:r>
      <w:r>
        <w:t xml:space="preserve"> Mineke van Essen and Ruth Watts, ‘Editorial’; </w:t>
      </w:r>
      <w:proofErr w:type="spellStart"/>
      <w:r w:rsidRPr="009263CA">
        <w:rPr>
          <w:bCs/>
        </w:rPr>
        <w:t>Bärbel</w:t>
      </w:r>
      <w:proofErr w:type="spellEnd"/>
      <w:r w:rsidRPr="009263CA">
        <w:rPr>
          <w:bCs/>
        </w:rPr>
        <w:t xml:space="preserve"> Kuhn, ‘Gender and Education’; </w:t>
      </w:r>
      <w:r w:rsidRPr="009263CA">
        <w:rPr>
          <w:bCs/>
          <w:lang w:val="en-US"/>
        </w:rPr>
        <w:t>James Albisetti, ‘The Empress Frederick and Female Education in the Late Nineteenth Century: Germany, England, and Italy’; Joyce Goodman, ‘Women, Education and Intellectual Co-operation in the Inter-war Period’</w:t>
      </w:r>
      <w:r w:rsidRPr="009263CA">
        <w:rPr>
          <w:bCs/>
        </w:rPr>
        <w:t>; Rebecca Rogers, ‘Language Learning versus Vocational Training: French, Arab and British Voices speak about Indigenous Girls’ Education in Nineteenth Century Colonial Algeria’; Kay Whitehead, "Transnational Connections in early Twentieth Century: Women Teachers' Work</w:t>
      </w:r>
      <w:r w:rsidRPr="009263CA">
        <w:rPr>
          <w:b/>
          <w:bCs/>
        </w:rPr>
        <w:t>"</w:t>
      </w:r>
      <w:r>
        <w:rPr>
          <w:b/>
          <w:bCs/>
        </w:rPr>
        <w:t>,</w:t>
      </w:r>
      <w:r>
        <w:t xml:space="preserve"> </w:t>
      </w:r>
      <w:r>
        <w:rPr>
          <w:i/>
        </w:rPr>
        <w:t xml:space="preserve">Paedagogica Historica </w:t>
      </w:r>
      <w:r w:rsidRPr="003F2512">
        <w:t xml:space="preserve">48, </w:t>
      </w:r>
      <w:r>
        <w:t xml:space="preserve">no. 3 (2012): 335-390; Christine Mayer, ‘Female Education and the Cultural Transfer of Pedagogical Knowledge in the Eighteenth Century’, </w:t>
      </w:r>
      <w:r>
        <w:rPr>
          <w:i/>
        </w:rPr>
        <w:t xml:space="preserve">Paedagogica Historica </w:t>
      </w:r>
      <w:r w:rsidRPr="003F2512">
        <w:t xml:space="preserve">48, </w:t>
      </w:r>
      <w:r>
        <w:t>no. 4 (2012): 511-26</w:t>
      </w:r>
    </w:p>
  </w:footnote>
  <w:footnote w:id="17">
    <w:p w:rsidR="00042E84" w:rsidRPr="00876CD2" w:rsidRDefault="00042E84">
      <w:pPr>
        <w:pStyle w:val="FootnoteText"/>
      </w:pPr>
      <w:r w:rsidRPr="00876CD2">
        <w:rPr>
          <w:rStyle w:val="FootnoteReference"/>
        </w:rPr>
        <w:footnoteRef/>
      </w:r>
      <w:r w:rsidRPr="00876CD2">
        <w:t xml:space="preserve"> </w:t>
      </w:r>
      <w:r w:rsidRPr="00876CD2">
        <w:rPr>
          <w:rFonts w:cstheme="minorHAnsi"/>
          <w:bCs/>
          <w:lang w:val="en-US"/>
        </w:rPr>
        <w:t>Hamburg</w:t>
      </w:r>
      <w:r>
        <w:rPr>
          <w:rFonts w:cstheme="minorHAnsi"/>
          <w:bCs/>
          <w:lang w:val="en-US"/>
        </w:rPr>
        <w:t xml:space="preserve"> </w:t>
      </w:r>
      <w:r w:rsidRPr="00772E9A">
        <w:rPr>
          <w:rFonts w:cstheme="minorHAnsi"/>
        </w:rPr>
        <w:t>(Children and Youth at Risk)</w:t>
      </w:r>
      <w:r w:rsidRPr="00772E9A">
        <w:rPr>
          <w:rFonts w:cstheme="minorHAnsi"/>
          <w:bCs/>
          <w:lang w:val="en-US"/>
        </w:rPr>
        <w:t>,</w:t>
      </w:r>
      <w:r>
        <w:rPr>
          <w:rFonts w:cstheme="minorHAnsi"/>
          <w:bCs/>
          <w:lang w:val="en-US"/>
        </w:rPr>
        <w:t xml:space="preserve"> </w:t>
      </w:r>
      <w:r w:rsidRPr="00876CD2">
        <w:rPr>
          <w:rFonts w:cstheme="minorHAnsi"/>
          <w:bCs/>
          <w:lang w:val="en-US"/>
        </w:rPr>
        <w:t>20; Newark</w:t>
      </w:r>
      <w:r>
        <w:rPr>
          <w:rFonts w:cstheme="minorHAnsi"/>
          <w:bCs/>
          <w:lang w:val="en-US"/>
        </w:rPr>
        <w:t xml:space="preserve"> (Education and inequality; Historical Approaches to Schooling and Social Stratification)</w:t>
      </w:r>
      <w:r w:rsidRPr="00876CD2">
        <w:rPr>
          <w:rFonts w:cstheme="minorHAnsi"/>
          <w:bCs/>
          <w:lang w:val="en-US"/>
        </w:rPr>
        <w:t>, 16 in five gender sessions plus others; Utrecht</w:t>
      </w:r>
      <w:r>
        <w:rPr>
          <w:rFonts w:cstheme="minorHAnsi"/>
          <w:bCs/>
          <w:lang w:val="en-US"/>
        </w:rPr>
        <w:t xml:space="preserve"> (The History of Popular Education)</w:t>
      </w:r>
      <w:r w:rsidRPr="00876CD2">
        <w:rPr>
          <w:rFonts w:cstheme="minorHAnsi"/>
          <w:bCs/>
          <w:lang w:val="en-US"/>
        </w:rPr>
        <w:t>, 4 gender sessions each with 3 papers plus 7 papers definitely on gender or women’s history in 7 other sessions ranging across various types of education and historical topics; Amsterdam</w:t>
      </w:r>
      <w:r>
        <w:rPr>
          <w:rFonts w:cstheme="minorHAnsi"/>
          <w:bCs/>
          <w:lang w:val="en-US"/>
        </w:rPr>
        <w:t xml:space="preserve"> (Discoveries of Childhood in History)</w:t>
      </w:r>
      <w:r w:rsidRPr="00876CD2">
        <w:rPr>
          <w:rFonts w:cstheme="minorHAnsi"/>
          <w:bCs/>
          <w:lang w:val="en-US"/>
        </w:rPr>
        <w:t>, 6 in a gender panel, plus at least 5 others and CISH and Mexico</w:t>
      </w:r>
      <w:r>
        <w:rPr>
          <w:rFonts w:cstheme="minorHAnsi"/>
          <w:bCs/>
          <w:lang w:val="en-US"/>
        </w:rPr>
        <w:t xml:space="preserve"> (State, Education and Society: New Perspectives on an Old Debate)</w:t>
      </w:r>
      <w:r w:rsidRPr="00876CD2">
        <w:rPr>
          <w:rFonts w:cstheme="minorHAnsi"/>
          <w:bCs/>
          <w:lang w:val="en-US"/>
        </w:rPr>
        <w:t>, 2 gender sessions each with 4 papers, at least 10 other ones in other sessions and many papers on teachers and teaching.</w:t>
      </w:r>
    </w:p>
  </w:footnote>
  <w:footnote w:id="18">
    <w:p w:rsidR="00042E84" w:rsidRPr="00876CD2" w:rsidRDefault="00042E84">
      <w:pPr>
        <w:pStyle w:val="FootnoteText"/>
        <w:rPr>
          <w:rFonts w:cstheme="minorHAnsi"/>
        </w:rPr>
      </w:pPr>
      <w:r w:rsidRPr="00876CD2">
        <w:rPr>
          <w:rStyle w:val="FootnoteReference"/>
          <w:rFonts w:cstheme="minorHAnsi"/>
        </w:rPr>
        <w:footnoteRef/>
      </w:r>
      <w:r w:rsidRPr="00876CD2">
        <w:rPr>
          <w:rFonts w:cstheme="minorHAnsi"/>
        </w:rPr>
        <w:t xml:space="preserve"> See ISCHE programmes for Hamburg (Children at Risk, 2007), Newark (Education and Inequality, 2008), Utrecht (The History of Popular Education, 2009), Amsterdam (Discoveries of Childhood, 2010) and Mexico (State, Education and Society, 2011)</w:t>
      </w:r>
    </w:p>
  </w:footnote>
  <w:footnote w:id="19">
    <w:p w:rsidR="00042E84" w:rsidRPr="00296FDD" w:rsidRDefault="00042E84" w:rsidP="00D022A9">
      <w:pPr>
        <w:pStyle w:val="NoSpacing"/>
        <w:rPr>
          <w:rFonts w:cstheme="minorHAnsi"/>
          <w:sz w:val="20"/>
          <w:szCs w:val="20"/>
        </w:rPr>
      </w:pPr>
      <w:r w:rsidRPr="00296FDD">
        <w:rPr>
          <w:rStyle w:val="FootnoteReference"/>
          <w:rFonts w:cstheme="minorHAnsi"/>
          <w:sz w:val="20"/>
          <w:szCs w:val="20"/>
        </w:rPr>
        <w:footnoteRef/>
      </w:r>
      <w:r w:rsidRPr="00296FDD">
        <w:rPr>
          <w:rFonts w:cstheme="minorHAnsi"/>
          <w:sz w:val="20"/>
          <w:szCs w:val="20"/>
        </w:rPr>
        <w:t xml:space="preserve">  Tanya Fitzgerald, ‘Jumping the Fences: Maori Women’s Resistance to Missionary Schooling in Northern New Zealand 1823-1835’, </w:t>
      </w:r>
      <w:r w:rsidRPr="00296FDD">
        <w:rPr>
          <w:rFonts w:cstheme="minorHAnsi"/>
          <w:i/>
          <w:sz w:val="20"/>
          <w:szCs w:val="20"/>
        </w:rPr>
        <w:t>Paedagogica Historica</w:t>
      </w:r>
      <w:r w:rsidRPr="00296FDD">
        <w:rPr>
          <w:rFonts w:cstheme="minorHAnsi"/>
          <w:sz w:val="20"/>
          <w:szCs w:val="20"/>
        </w:rPr>
        <w:t xml:space="preserve">, Supplementary Series VII, 37, no.1, (2001): 175-92; Stephanie Spencer, ‘Schoolgirl to Career Girl. The City as Educative Space’, </w:t>
      </w:r>
      <w:r w:rsidRPr="00296FDD">
        <w:rPr>
          <w:rFonts w:cstheme="minorHAnsi"/>
          <w:i/>
          <w:sz w:val="20"/>
          <w:szCs w:val="20"/>
        </w:rPr>
        <w:t>Paedagogica Historica</w:t>
      </w:r>
      <w:r w:rsidRPr="00296FDD">
        <w:rPr>
          <w:rFonts w:cstheme="minorHAnsi"/>
          <w:sz w:val="20"/>
          <w:szCs w:val="20"/>
        </w:rPr>
        <w:t xml:space="preserve">, 39, nos. 1-2 (2003): 121-34; Christine de Bellaigue, ‘Behind the School Walls: the School Community in French and English Boarding Schools for Girls, 1810-1867’, </w:t>
      </w:r>
      <w:r w:rsidRPr="00296FDD">
        <w:rPr>
          <w:rFonts w:cstheme="minorHAnsi"/>
          <w:i/>
          <w:sz w:val="20"/>
          <w:szCs w:val="20"/>
        </w:rPr>
        <w:t>Paedagogica Historica</w:t>
      </w:r>
      <w:r>
        <w:rPr>
          <w:rFonts w:cstheme="minorHAnsi"/>
          <w:sz w:val="20"/>
          <w:szCs w:val="20"/>
        </w:rPr>
        <w:t xml:space="preserve"> 40, nos. I-2 (2004): 106-21</w:t>
      </w:r>
      <w:r w:rsidRPr="00296FDD">
        <w:rPr>
          <w:rFonts w:cstheme="minorHAnsi"/>
          <w:sz w:val="20"/>
          <w:szCs w:val="20"/>
        </w:rPr>
        <w:t xml:space="preserve">; Helen Proctor, ‘Gender and Merit: Coeducation and the Construction of a Meritocratic Educational Ladder in New South Wales, 1880-1912’, 43, no. 1 (2007): 119-34; </w:t>
      </w:r>
      <w:proofErr w:type="spellStart"/>
      <w:r w:rsidRPr="00296FDD">
        <w:rPr>
          <w:rFonts w:cstheme="minorHAnsi"/>
          <w:sz w:val="20"/>
          <w:szCs w:val="20"/>
        </w:rPr>
        <w:t>Siân</w:t>
      </w:r>
      <w:proofErr w:type="spellEnd"/>
      <w:r w:rsidRPr="00296FDD">
        <w:rPr>
          <w:rFonts w:cstheme="minorHAnsi"/>
          <w:sz w:val="20"/>
          <w:szCs w:val="20"/>
        </w:rPr>
        <w:t xml:space="preserve"> Roberts, ‘Exhibiting Children at risk: Child Art, International Exhibitions and Save the Children Fund in Vienna, 1919-1923’, </w:t>
      </w:r>
      <w:r w:rsidRPr="00296FDD">
        <w:rPr>
          <w:rFonts w:cstheme="minorHAnsi"/>
          <w:i/>
          <w:sz w:val="20"/>
          <w:szCs w:val="20"/>
        </w:rPr>
        <w:t>Paedagogica Historica</w:t>
      </w:r>
      <w:r w:rsidRPr="00296FDD">
        <w:rPr>
          <w:rFonts w:cstheme="minorHAnsi"/>
          <w:sz w:val="20"/>
          <w:szCs w:val="20"/>
        </w:rPr>
        <w:t xml:space="preserve">, 45, nos. 1&amp;2 (2009): 171-90; Amy Palmer, ‘Nursery Schools for the Few or the Many? Childhood, Education and the State in mid-Twentieth –century England’, </w:t>
      </w:r>
      <w:r w:rsidRPr="00296FDD">
        <w:rPr>
          <w:rFonts w:cstheme="minorHAnsi"/>
          <w:i/>
          <w:sz w:val="20"/>
          <w:szCs w:val="20"/>
        </w:rPr>
        <w:t>Paedagogica Historica</w:t>
      </w:r>
      <w:r w:rsidRPr="00296FDD">
        <w:rPr>
          <w:rFonts w:cstheme="minorHAnsi"/>
          <w:sz w:val="20"/>
          <w:szCs w:val="20"/>
        </w:rPr>
        <w:t>, 47, nos. 1&amp;2 (2011): 139-54</w:t>
      </w:r>
    </w:p>
  </w:footnote>
  <w:footnote w:id="20">
    <w:p w:rsidR="00042E84" w:rsidRPr="00296FDD" w:rsidRDefault="00042E84">
      <w:pPr>
        <w:pStyle w:val="FootnoteText"/>
        <w:rPr>
          <w:rFonts w:cstheme="minorHAnsi"/>
        </w:rPr>
      </w:pPr>
      <w:r w:rsidRPr="00296FDD">
        <w:rPr>
          <w:rStyle w:val="FootnoteReference"/>
          <w:rFonts w:cstheme="minorHAnsi"/>
        </w:rPr>
        <w:footnoteRef/>
      </w:r>
      <w:r w:rsidRPr="00296FDD">
        <w:rPr>
          <w:rFonts w:cstheme="minorHAnsi"/>
        </w:rPr>
        <w:t xml:space="preserve"> Annemieke van Drenth, ed., ‘Gender and Politics in the History of Education’, </w:t>
      </w:r>
      <w:r w:rsidRPr="00296FDD">
        <w:rPr>
          <w:rFonts w:cstheme="minorHAnsi"/>
          <w:i/>
        </w:rPr>
        <w:t>Paedagogica Historica</w:t>
      </w:r>
      <w:r w:rsidRPr="00296FDD">
        <w:rPr>
          <w:rFonts w:cstheme="minorHAnsi"/>
        </w:rPr>
        <w:t xml:space="preserve"> 44, no.4 (2008)</w:t>
      </w:r>
    </w:p>
  </w:footnote>
  <w:footnote w:id="21">
    <w:p w:rsidR="00042E84" w:rsidRPr="00876CD2" w:rsidRDefault="00042E84" w:rsidP="00785576">
      <w:pPr>
        <w:pStyle w:val="NoSpacing"/>
        <w:rPr>
          <w:rFonts w:cstheme="minorHAnsi"/>
          <w:sz w:val="20"/>
          <w:szCs w:val="20"/>
        </w:rPr>
      </w:pPr>
      <w:r w:rsidRPr="00296FDD">
        <w:rPr>
          <w:rStyle w:val="FootnoteReference"/>
          <w:rFonts w:cstheme="minorHAnsi"/>
          <w:sz w:val="20"/>
          <w:szCs w:val="20"/>
        </w:rPr>
        <w:footnoteRef/>
      </w:r>
      <w:r w:rsidRPr="00296FDD">
        <w:rPr>
          <w:rFonts w:cstheme="minorHAnsi"/>
          <w:sz w:val="20"/>
          <w:szCs w:val="20"/>
        </w:rPr>
        <w:t xml:space="preserve"> James C. Albisetti, ‘Catholics and Coeducation: Rhetoric and Reality in Europe before </w:t>
      </w:r>
      <w:proofErr w:type="spellStart"/>
      <w:r w:rsidRPr="00296FDD">
        <w:rPr>
          <w:rFonts w:cstheme="minorHAnsi"/>
          <w:i/>
          <w:sz w:val="20"/>
          <w:szCs w:val="20"/>
        </w:rPr>
        <w:t>Divini</w:t>
      </w:r>
      <w:proofErr w:type="spellEnd"/>
      <w:r w:rsidRPr="00296FDD">
        <w:rPr>
          <w:rFonts w:cstheme="minorHAnsi"/>
          <w:i/>
          <w:sz w:val="20"/>
          <w:szCs w:val="20"/>
        </w:rPr>
        <w:t xml:space="preserve"> </w:t>
      </w:r>
      <w:proofErr w:type="spellStart"/>
      <w:r w:rsidRPr="00296FDD">
        <w:rPr>
          <w:rFonts w:cstheme="minorHAnsi"/>
          <w:i/>
          <w:sz w:val="20"/>
          <w:szCs w:val="20"/>
        </w:rPr>
        <w:t>Illius</w:t>
      </w:r>
      <w:proofErr w:type="spellEnd"/>
      <w:r w:rsidRPr="00296FDD">
        <w:rPr>
          <w:rFonts w:cstheme="minorHAnsi"/>
          <w:i/>
          <w:sz w:val="20"/>
          <w:szCs w:val="20"/>
        </w:rPr>
        <w:t xml:space="preserve"> </w:t>
      </w:r>
      <w:proofErr w:type="spellStart"/>
      <w:r w:rsidRPr="00296FDD">
        <w:rPr>
          <w:rFonts w:cstheme="minorHAnsi"/>
          <w:i/>
          <w:sz w:val="20"/>
          <w:szCs w:val="20"/>
        </w:rPr>
        <w:t>Magistri</w:t>
      </w:r>
      <w:proofErr w:type="spellEnd"/>
      <w:r w:rsidRPr="00296FDD">
        <w:rPr>
          <w:rFonts w:cstheme="minorHAnsi"/>
          <w:sz w:val="20"/>
          <w:szCs w:val="20"/>
        </w:rPr>
        <w:t xml:space="preserve">’, </w:t>
      </w:r>
      <w:r w:rsidRPr="00296FDD">
        <w:rPr>
          <w:rFonts w:cstheme="minorHAnsi"/>
          <w:i/>
          <w:sz w:val="20"/>
          <w:szCs w:val="20"/>
        </w:rPr>
        <w:t>Paedagogica Historica</w:t>
      </w:r>
      <w:r w:rsidRPr="00296FDD">
        <w:rPr>
          <w:rFonts w:cstheme="minorHAnsi"/>
          <w:sz w:val="20"/>
          <w:szCs w:val="20"/>
        </w:rPr>
        <w:t xml:space="preserve">, 35, Issue 3 (1999): 666-696; James Albisetti, ‘European Perceptions of American Coeducation, 1865-1914: Ethnicity, religion and culture’, </w:t>
      </w:r>
      <w:r w:rsidRPr="00296FDD">
        <w:rPr>
          <w:rFonts w:cstheme="minorHAnsi"/>
          <w:i/>
          <w:sz w:val="20"/>
          <w:szCs w:val="20"/>
        </w:rPr>
        <w:t>Paedagogica Historica</w:t>
      </w:r>
      <w:r w:rsidRPr="00296FDD">
        <w:rPr>
          <w:rFonts w:cstheme="minorHAnsi"/>
          <w:sz w:val="20"/>
          <w:szCs w:val="20"/>
        </w:rPr>
        <w:t>, Supplementary Series VII, 37, no. 1 (2001): 123-38;</w:t>
      </w:r>
      <w:r w:rsidRPr="00876CD2">
        <w:rPr>
          <w:rFonts w:cstheme="minorHAnsi"/>
          <w:b/>
          <w:color w:val="632423" w:themeColor="accent2" w:themeShade="80"/>
          <w:sz w:val="20"/>
          <w:szCs w:val="20"/>
        </w:rPr>
        <w:t xml:space="preserve"> </w:t>
      </w:r>
      <w:proofErr w:type="spellStart"/>
      <w:r w:rsidRPr="00876CD2">
        <w:rPr>
          <w:rFonts w:cstheme="minorHAnsi"/>
          <w:sz w:val="20"/>
          <w:szCs w:val="20"/>
        </w:rPr>
        <w:t>Heikki</w:t>
      </w:r>
      <w:proofErr w:type="spellEnd"/>
      <w:r w:rsidRPr="00876CD2">
        <w:rPr>
          <w:rFonts w:cstheme="minorHAnsi"/>
          <w:sz w:val="20"/>
          <w:szCs w:val="20"/>
        </w:rPr>
        <w:t xml:space="preserve"> </w:t>
      </w:r>
      <w:proofErr w:type="spellStart"/>
      <w:r w:rsidRPr="00876CD2">
        <w:rPr>
          <w:rFonts w:cstheme="minorHAnsi"/>
          <w:sz w:val="20"/>
          <w:szCs w:val="20"/>
        </w:rPr>
        <w:t>Lempa</w:t>
      </w:r>
      <w:proofErr w:type="spellEnd"/>
      <w:r w:rsidRPr="00876CD2">
        <w:rPr>
          <w:rFonts w:cstheme="minorHAnsi"/>
          <w:sz w:val="20"/>
          <w:szCs w:val="20"/>
        </w:rPr>
        <w:t>, ‘</w:t>
      </w:r>
      <w:proofErr w:type="spellStart"/>
      <w:r w:rsidRPr="00876CD2">
        <w:rPr>
          <w:rFonts w:cstheme="minorHAnsi"/>
          <w:sz w:val="20"/>
          <w:szCs w:val="20"/>
        </w:rPr>
        <w:t>Patriarchalism</w:t>
      </w:r>
      <w:proofErr w:type="spellEnd"/>
      <w:r w:rsidRPr="00876CD2">
        <w:rPr>
          <w:rFonts w:cstheme="minorHAnsi"/>
          <w:sz w:val="20"/>
          <w:szCs w:val="20"/>
        </w:rPr>
        <w:t xml:space="preserve"> and Meritocracy: Evaluating Students in late Eighteenth-Century </w:t>
      </w:r>
      <w:proofErr w:type="spellStart"/>
      <w:r w:rsidRPr="00876CD2">
        <w:rPr>
          <w:rFonts w:cstheme="minorHAnsi"/>
          <w:sz w:val="20"/>
          <w:szCs w:val="20"/>
        </w:rPr>
        <w:t>Schnepfenthal</w:t>
      </w:r>
      <w:proofErr w:type="spellEnd"/>
      <w:r w:rsidRPr="00876CD2">
        <w:rPr>
          <w:rFonts w:cstheme="minorHAnsi"/>
          <w:sz w:val="20"/>
          <w:szCs w:val="20"/>
        </w:rPr>
        <w:t xml:space="preserve">’, </w:t>
      </w:r>
      <w:r w:rsidRPr="00876CD2">
        <w:rPr>
          <w:rFonts w:cstheme="minorHAnsi"/>
          <w:i/>
          <w:sz w:val="20"/>
          <w:szCs w:val="20"/>
        </w:rPr>
        <w:t>Paedagogica Historica</w:t>
      </w:r>
      <w:r w:rsidRPr="00876CD2">
        <w:rPr>
          <w:rFonts w:cstheme="minorHAnsi"/>
          <w:sz w:val="20"/>
          <w:szCs w:val="20"/>
        </w:rPr>
        <w:t xml:space="preserve"> 42, no. 6 (2006): 727-49</w:t>
      </w:r>
    </w:p>
    <w:p w:rsidR="00042E84" w:rsidRPr="00876CD2" w:rsidRDefault="00042E84">
      <w:pPr>
        <w:pStyle w:val="FootnoteText"/>
        <w:rPr>
          <w:rFonts w:cstheme="minorHAnsi"/>
        </w:rPr>
      </w:pPr>
    </w:p>
  </w:footnote>
  <w:footnote w:id="22">
    <w:p w:rsidR="00042E84" w:rsidRPr="00042E84" w:rsidRDefault="00042E84" w:rsidP="0045531D">
      <w:pPr>
        <w:pStyle w:val="FootnoteText"/>
        <w:rPr>
          <w:rFonts w:cstheme="minorHAnsi"/>
        </w:rPr>
      </w:pPr>
      <w:r w:rsidRPr="00042E84">
        <w:rPr>
          <w:rStyle w:val="FootnoteReference"/>
          <w:rFonts w:cstheme="minorHAnsi"/>
        </w:rPr>
        <w:footnoteRef/>
      </w:r>
      <w:r>
        <w:rPr>
          <w:rFonts w:cstheme="minorHAnsi"/>
        </w:rPr>
        <w:t xml:space="preserve"> Christine Mayer,</w:t>
      </w:r>
      <w:r w:rsidRPr="00042E84">
        <w:rPr>
          <w:rFonts w:cstheme="minorHAnsi"/>
        </w:rPr>
        <w:t xml:space="preserve"> ‘Social Change and Educational Reform Illustrated by the Development of the School of Industry in Hamburg, 1788-1811’, </w:t>
      </w:r>
      <w:r w:rsidRPr="00042E84">
        <w:rPr>
          <w:rFonts w:cstheme="minorHAnsi"/>
          <w:i/>
        </w:rPr>
        <w:t>Paedagogica Historica</w:t>
      </w:r>
      <w:r w:rsidRPr="00042E84">
        <w:rPr>
          <w:rFonts w:cstheme="minorHAnsi"/>
        </w:rPr>
        <w:t>, Supplementary Series IV (1998): 88-104 (Abs, 89)</w:t>
      </w:r>
    </w:p>
  </w:footnote>
  <w:footnote w:id="23">
    <w:p w:rsidR="00042E84" w:rsidRPr="00042E84" w:rsidRDefault="00042E84">
      <w:pPr>
        <w:pStyle w:val="FootnoteText"/>
        <w:rPr>
          <w:rFonts w:cstheme="minorHAnsi"/>
        </w:rPr>
      </w:pPr>
      <w:r w:rsidRPr="00042E84">
        <w:rPr>
          <w:rStyle w:val="FootnoteReference"/>
          <w:rFonts w:cstheme="minorHAnsi"/>
        </w:rPr>
        <w:footnoteRef/>
      </w:r>
      <w:r w:rsidRPr="00042E84">
        <w:rPr>
          <w:rFonts w:cstheme="minorHAnsi"/>
        </w:rPr>
        <w:t xml:space="preserve"> ‘“Empires Overseas” and “Empires at Home”: Postcolonial and Transnational Perspectives on Social Change in the History of Education’, </w:t>
      </w:r>
      <w:r w:rsidRPr="00042E84">
        <w:rPr>
          <w:rFonts w:cstheme="minorHAnsi"/>
          <w:i/>
        </w:rPr>
        <w:t>Paedagogica Historica</w:t>
      </w:r>
      <w:r w:rsidRPr="00042E84">
        <w:rPr>
          <w:rFonts w:cstheme="minorHAnsi"/>
        </w:rPr>
        <w:t xml:space="preserve"> 45, no.6 (2009)</w:t>
      </w:r>
    </w:p>
  </w:footnote>
  <w:footnote w:id="24">
    <w:p w:rsidR="00042E84" w:rsidRPr="00042E84" w:rsidRDefault="00042E84" w:rsidP="005B37EE">
      <w:pPr>
        <w:pStyle w:val="NoSpacing"/>
        <w:rPr>
          <w:rFonts w:cstheme="minorHAnsi"/>
          <w:sz w:val="20"/>
          <w:szCs w:val="20"/>
        </w:rPr>
      </w:pPr>
      <w:r w:rsidRPr="00042E84">
        <w:rPr>
          <w:rStyle w:val="FootnoteReference"/>
          <w:rFonts w:cstheme="minorHAnsi"/>
          <w:sz w:val="20"/>
          <w:szCs w:val="20"/>
        </w:rPr>
        <w:footnoteRef/>
      </w:r>
      <w:r w:rsidRPr="00042E84">
        <w:rPr>
          <w:rFonts w:cstheme="minorHAnsi"/>
          <w:sz w:val="20"/>
          <w:szCs w:val="20"/>
        </w:rPr>
        <w:t xml:space="preserve"> Pierre Kita </w:t>
      </w:r>
      <w:proofErr w:type="spellStart"/>
      <w:r w:rsidRPr="00042E84">
        <w:rPr>
          <w:rFonts w:cstheme="minorHAnsi"/>
          <w:sz w:val="20"/>
          <w:szCs w:val="20"/>
        </w:rPr>
        <w:t>Masandi</w:t>
      </w:r>
      <w:proofErr w:type="spellEnd"/>
      <w:r w:rsidRPr="00042E84">
        <w:rPr>
          <w:rFonts w:cstheme="minorHAnsi"/>
          <w:sz w:val="20"/>
          <w:szCs w:val="20"/>
        </w:rPr>
        <w:t>, ‘</w:t>
      </w:r>
      <w:proofErr w:type="spellStart"/>
      <w:r w:rsidRPr="00042E84">
        <w:rPr>
          <w:rFonts w:cstheme="minorHAnsi"/>
          <w:sz w:val="20"/>
          <w:szCs w:val="20"/>
        </w:rPr>
        <w:t>L’Éducation</w:t>
      </w:r>
      <w:proofErr w:type="spellEnd"/>
      <w:r w:rsidRPr="00042E84">
        <w:rPr>
          <w:rFonts w:cstheme="minorHAnsi"/>
          <w:sz w:val="20"/>
          <w:szCs w:val="20"/>
        </w:rPr>
        <w:t xml:space="preserve"> </w:t>
      </w:r>
      <w:proofErr w:type="spellStart"/>
      <w:r w:rsidRPr="00042E84">
        <w:rPr>
          <w:rFonts w:cstheme="minorHAnsi"/>
          <w:sz w:val="20"/>
          <w:szCs w:val="20"/>
        </w:rPr>
        <w:t>Féminine</w:t>
      </w:r>
      <w:proofErr w:type="spellEnd"/>
      <w:r w:rsidRPr="00042E84">
        <w:rPr>
          <w:rFonts w:cstheme="minorHAnsi"/>
          <w:sz w:val="20"/>
          <w:szCs w:val="20"/>
        </w:rPr>
        <w:t xml:space="preserve"> au Congo </w:t>
      </w:r>
      <w:proofErr w:type="spellStart"/>
      <w:r w:rsidRPr="00042E84">
        <w:rPr>
          <w:rFonts w:cstheme="minorHAnsi"/>
          <w:sz w:val="20"/>
          <w:szCs w:val="20"/>
        </w:rPr>
        <w:t>Belge</w:t>
      </w:r>
      <w:proofErr w:type="spellEnd"/>
      <w:r w:rsidRPr="00042E84">
        <w:rPr>
          <w:rFonts w:cstheme="minorHAnsi"/>
          <w:sz w:val="20"/>
          <w:szCs w:val="20"/>
        </w:rPr>
        <w:t xml:space="preserve">’, </w:t>
      </w:r>
      <w:r w:rsidRPr="00042E84">
        <w:rPr>
          <w:rFonts w:cstheme="minorHAnsi"/>
          <w:i/>
          <w:sz w:val="20"/>
          <w:szCs w:val="20"/>
        </w:rPr>
        <w:t>Paedagogica Historica</w:t>
      </w:r>
      <w:r w:rsidRPr="00042E84">
        <w:rPr>
          <w:rFonts w:cstheme="minorHAnsi"/>
          <w:sz w:val="20"/>
          <w:szCs w:val="20"/>
        </w:rPr>
        <w:t xml:space="preserve">, 40, no. 4 (2004): 479-97; Roland </w:t>
      </w:r>
      <w:proofErr w:type="spellStart"/>
      <w:r w:rsidRPr="00042E84">
        <w:rPr>
          <w:rFonts w:cstheme="minorHAnsi"/>
          <w:sz w:val="20"/>
          <w:szCs w:val="20"/>
        </w:rPr>
        <w:t>Sintos</w:t>
      </w:r>
      <w:proofErr w:type="spellEnd"/>
      <w:r w:rsidRPr="00042E84">
        <w:rPr>
          <w:rFonts w:cstheme="minorHAnsi"/>
          <w:sz w:val="20"/>
          <w:szCs w:val="20"/>
        </w:rPr>
        <w:t xml:space="preserve"> Coloma, ‘White Gazes, Brown Breasts: Imperial Feminism and Disciplining Desires and Bodies in Colonial Encounters’, </w:t>
      </w:r>
      <w:r w:rsidRPr="00042E84">
        <w:rPr>
          <w:rFonts w:cstheme="minorHAnsi"/>
          <w:i/>
          <w:sz w:val="20"/>
          <w:szCs w:val="20"/>
        </w:rPr>
        <w:t>Paedagogica Historica</w:t>
      </w:r>
      <w:r w:rsidRPr="00042E84">
        <w:rPr>
          <w:rFonts w:cstheme="minorHAnsi"/>
          <w:sz w:val="20"/>
          <w:szCs w:val="20"/>
        </w:rPr>
        <w:t>, 48, no. 2 (2012):, 243-61</w:t>
      </w:r>
    </w:p>
  </w:footnote>
  <w:footnote w:id="25">
    <w:p w:rsidR="00042E84" w:rsidRPr="00042E84" w:rsidRDefault="00042E84" w:rsidP="005B37EE">
      <w:pPr>
        <w:pStyle w:val="NoSpacing"/>
        <w:rPr>
          <w:rFonts w:cstheme="minorHAnsi"/>
          <w:sz w:val="20"/>
          <w:szCs w:val="20"/>
        </w:rPr>
      </w:pPr>
      <w:r w:rsidRPr="00042E84">
        <w:rPr>
          <w:rStyle w:val="FootnoteReference"/>
          <w:rFonts w:cstheme="minorHAnsi"/>
          <w:sz w:val="20"/>
          <w:szCs w:val="20"/>
        </w:rPr>
        <w:footnoteRef/>
      </w:r>
      <w:r w:rsidRPr="00042E84">
        <w:rPr>
          <w:rFonts w:cstheme="minorHAnsi"/>
          <w:sz w:val="20"/>
          <w:szCs w:val="20"/>
        </w:rPr>
        <w:t xml:space="preserve"> Annemieke van Drenth, ‘Contested Scripts: an Introduction’, </w:t>
      </w:r>
      <w:r w:rsidRPr="00042E84">
        <w:rPr>
          <w:rFonts w:cstheme="minorHAnsi"/>
          <w:i/>
          <w:sz w:val="20"/>
          <w:szCs w:val="20"/>
        </w:rPr>
        <w:t xml:space="preserve">Paedagogica Historica </w:t>
      </w:r>
      <w:r w:rsidRPr="00042E84">
        <w:rPr>
          <w:rFonts w:cstheme="minorHAnsi"/>
          <w:sz w:val="20"/>
          <w:szCs w:val="20"/>
        </w:rPr>
        <w:t>44, no.4 (2008):369-77; Annemieke van Drenth &amp; Mineke van Essen, ‘The Ambiguity of Professing Gender: Women Educationists and New Education in the Netherlands (1890-1940), 379-96; Jane Martin, ‘Engendering city Politics and Educational Thought: Elite Women and the London Labour Party, 1914-1965’, 397-413; Joyce Goodman, ‘Conservative Woman or Woman Conservative? Complicating Accounts of women’s Educational Leadership,  415-28</w:t>
      </w:r>
    </w:p>
  </w:footnote>
  <w:footnote w:id="26">
    <w:p w:rsidR="00042E84" w:rsidRPr="00042E84" w:rsidRDefault="00042E84" w:rsidP="004E1A5D">
      <w:pPr>
        <w:pStyle w:val="NoSpacing"/>
        <w:rPr>
          <w:rFonts w:cstheme="minorHAnsi"/>
          <w:sz w:val="20"/>
          <w:szCs w:val="20"/>
        </w:rPr>
      </w:pPr>
      <w:r w:rsidRPr="00042E84">
        <w:rPr>
          <w:rStyle w:val="FootnoteReference"/>
          <w:rFonts w:cstheme="minorHAnsi"/>
          <w:sz w:val="20"/>
          <w:szCs w:val="20"/>
        </w:rPr>
        <w:footnoteRef/>
      </w:r>
      <w:r w:rsidRPr="00042E84">
        <w:rPr>
          <w:rFonts w:cstheme="minorHAnsi"/>
          <w:sz w:val="20"/>
          <w:szCs w:val="20"/>
        </w:rPr>
        <w:t xml:space="preserve"> Kate </w:t>
      </w:r>
      <w:proofErr w:type="spellStart"/>
      <w:r w:rsidRPr="00042E84">
        <w:rPr>
          <w:rFonts w:cstheme="minorHAnsi"/>
          <w:sz w:val="20"/>
          <w:szCs w:val="20"/>
        </w:rPr>
        <w:t>Roumaniere</w:t>
      </w:r>
      <w:proofErr w:type="spellEnd"/>
      <w:r w:rsidRPr="00042E84">
        <w:rPr>
          <w:rFonts w:cstheme="minorHAnsi"/>
          <w:sz w:val="20"/>
          <w:szCs w:val="20"/>
        </w:rPr>
        <w:t xml:space="preserve">, Kate Rousmaniere, ‘Being Margaret Haley, Chicago, 1903’, </w:t>
      </w:r>
      <w:r w:rsidRPr="00042E84">
        <w:rPr>
          <w:rFonts w:cstheme="minorHAnsi"/>
          <w:i/>
          <w:sz w:val="20"/>
          <w:szCs w:val="20"/>
        </w:rPr>
        <w:t>Paedagogica Historica</w:t>
      </w:r>
      <w:r w:rsidRPr="00042E84">
        <w:rPr>
          <w:rFonts w:cstheme="minorHAnsi"/>
          <w:sz w:val="20"/>
          <w:szCs w:val="20"/>
        </w:rPr>
        <w:t>, 39, nos. 1-2 (2003): 5-18</w:t>
      </w:r>
    </w:p>
  </w:footnote>
  <w:footnote w:id="27">
    <w:p w:rsidR="00042E84" w:rsidRPr="00042E84" w:rsidRDefault="00042E84">
      <w:pPr>
        <w:pStyle w:val="FootnoteText"/>
        <w:rPr>
          <w:rFonts w:cstheme="minorHAnsi"/>
        </w:rPr>
      </w:pPr>
      <w:r w:rsidRPr="00042E84">
        <w:rPr>
          <w:rStyle w:val="FootnoteReference"/>
          <w:rFonts w:cstheme="minorHAnsi"/>
        </w:rPr>
        <w:footnoteRef/>
      </w:r>
      <w:r w:rsidRPr="00042E84">
        <w:rPr>
          <w:rFonts w:cstheme="minorHAnsi"/>
        </w:rPr>
        <w:t xml:space="preserve"> </w:t>
      </w:r>
      <w:r>
        <w:rPr>
          <w:rFonts w:cstheme="minorHAnsi"/>
        </w:rPr>
        <w:t xml:space="preserve">E.g. </w:t>
      </w:r>
      <w:r w:rsidRPr="00042E84">
        <w:rPr>
          <w:rFonts w:cstheme="minorHAnsi"/>
        </w:rPr>
        <w:t>Christine Mayer, 'Poverty, education and gender: pedagogic transformations in the schools for the poor (</w:t>
      </w:r>
      <w:proofErr w:type="spellStart"/>
      <w:r w:rsidRPr="00042E84">
        <w:rPr>
          <w:rFonts w:cstheme="minorHAnsi"/>
        </w:rPr>
        <w:t>Armenschulwesen</w:t>
      </w:r>
      <w:proofErr w:type="spellEnd"/>
      <w:r w:rsidRPr="00042E84">
        <w:rPr>
          <w:rFonts w:cstheme="minorHAnsi"/>
        </w:rPr>
        <w:t xml:space="preserve">) in Hamburg, 1788-1871', </w:t>
      </w:r>
      <w:r w:rsidRPr="00042E84">
        <w:rPr>
          <w:rFonts w:cstheme="minorHAnsi"/>
          <w:i/>
        </w:rPr>
        <w:t>Paedagogica Historica</w:t>
      </w:r>
      <w:r w:rsidRPr="00042E84">
        <w:rPr>
          <w:rFonts w:cstheme="minorHAnsi"/>
        </w:rPr>
        <w:t>, 47, nos. 1&amp;2 (2011): 91-107</w:t>
      </w:r>
    </w:p>
  </w:footnote>
  <w:footnote w:id="28">
    <w:p w:rsidR="00042E84" w:rsidRPr="00042E84" w:rsidRDefault="00042E84" w:rsidP="0006668A">
      <w:pPr>
        <w:pStyle w:val="NoSpacing"/>
        <w:rPr>
          <w:rFonts w:cstheme="minorHAnsi"/>
          <w:sz w:val="20"/>
          <w:szCs w:val="20"/>
        </w:rPr>
      </w:pPr>
      <w:r w:rsidRPr="00876CD2">
        <w:rPr>
          <w:rStyle w:val="FootnoteReference"/>
          <w:rFonts w:cstheme="minorHAnsi"/>
          <w:sz w:val="20"/>
          <w:szCs w:val="20"/>
        </w:rPr>
        <w:footnoteRef/>
      </w:r>
      <w:r w:rsidRPr="00876CD2">
        <w:rPr>
          <w:rFonts w:cstheme="minorHAnsi"/>
          <w:sz w:val="20"/>
          <w:szCs w:val="20"/>
        </w:rPr>
        <w:t xml:space="preserve"> </w:t>
      </w:r>
      <w:r w:rsidRPr="00042E84">
        <w:rPr>
          <w:rFonts w:cstheme="minorHAnsi"/>
          <w:sz w:val="20"/>
          <w:szCs w:val="20"/>
        </w:rPr>
        <w:t xml:space="preserve">Luis </w:t>
      </w:r>
      <w:proofErr w:type="spellStart"/>
      <w:r w:rsidRPr="00042E84">
        <w:rPr>
          <w:rFonts w:cstheme="minorHAnsi"/>
          <w:sz w:val="20"/>
          <w:szCs w:val="20"/>
        </w:rPr>
        <w:t>Grosso</w:t>
      </w:r>
      <w:proofErr w:type="spellEnd"/>
      <w:r w:rsidRPr="00042E84">
        <w:rPr>
          <w:rFonts w:cstheme="minorHAnsi"/>
          <w:sz w:val="20"/>
          <w:szCs w:val="20"/>
        </w:rPr>
        <w:t xml:space="preserve"> </w:t>
      </w:r>
      <w:proofErr w:type="spellStart"/>
      <w:r w:rsidRPr="00042E84">
        <w:rPr>
          <w:rFonts w:cstheme="minorHAnsi"/>
          <w:sz w:val="20"/>
          <w:szCs w:val="20"/>
        </w:rPr>
        <w:t>Correia</w:t>
      </w:r>
      <w:proofErr w:type="spellEnd"/>
      <w:r w:rsidRPr="00042E84">
        <w:rPr>
          <w:rFonts w:cstheme="minorHAnsi"/>
          <w:sz w:val="20"/>
          <w:szCs w:val="20"/>
        </w:rPr>
        <w:t xml:space="preserve">, ‘Social Patters of Literacy in the City of Porto at the End of the Nineteenth Century’, </w:t>
      </w:r>
      <w:r w:rsidRPr="00042E84">
        <w:rPr>
          <w:rFonts w:cstheme="minorHAnsi"/>
          <w:i/>
          <w:sz w:val="20"/>
          <w:szCs w:val="20"/>
        </w:rPr>
        <w:t>Paedagogica Historica</w:t>
      </w:r>
      <w:r w:rsidRPr="00042E84">
        <w:rPr>
          <w:rFonts w:cstheme="minorHAnsi"/>
          <w:sz w:val="20"/>
          <w:szCs w:val="20"/>
        </w:rPr>
        <w:t>, 44, nos. 1&amp;2 (2008): 83-105</w:t>
      </w:r>
    </w:p>
  </w:footnote>
  <w:footnote w:id="29">
    <w:p w:rsidR="00042E84" w:rsidRPr="00042E84" w:rsidRDefault="00042E84">
      <w:pPr>
        <w:pStyle w:val="FootnoteText"/>
        <w:rPr>
          <w:rFonts w:cstheme="minorHAnsi"/>
        </w:rPr>
      </w:pPr>
      <w:r w:rsidRPr="00876CD2">
        <w:rPr>
          <w:rStyle w:val="FootnoteReference"/>
          <w:rFonts w:cstheme="minorHAnsi"/>
        </w:rPr>
        <w:footnoteRef/>
      </w:r>
      <w:r w:rsidRPr="00876CD2">
        <w:rPr>
          <w:rFonts w:cstheme="minorHAnsi"/>
        </w:rPr>
        <w:t xml:space="preserve"> </w:t>
      </w:r>
      <w:r w:rsidRPr="00042E84">
        <w:rPr>
          <w:rFonts w:cstheme="minorHAnsi"/>
        </w:rPr>
        <w:t xml:space="preserve">Joyce Goodman, ‘Working for Change across International Borders: the Association of Headmistresses and Education for International Citizenship’, </w:t>
      </w:r>
      <w:r w:rsidRPr="00042E84">
        <w:rPr>
          <w:rFonts w:cstheme="minorHAnsi"/>
          <w:i/>
        </w:rPr>
        <w:t>Paedagogica Historica</w:t>
      </w:r>
      <w:r w:rsidRPr="00042E84">
        <w:rPr>
          <w:rFonts w:cstheme="minorHAnsi"/>
        </w:rPr>
        <w:t xml:space="preserve">, 43, no. 1 (2007): 165-80; Christa </w:t>
      </w:r>
      <w:proofErr w:type="spellStart"/>
      <w:r w:rsidRPr="00042E84">
        <w:rPr>
          <w:rFonts w:cstheme="minorHAnsi"/>
        </w:rPr>
        <w:t>Kersting</w:t>
      </w:r>
      <w:proofErr w:type="spellEnd"/>
      <w:r w:rsidRPr="00042E84">
        <w:rPr>
          <w:rFonts w:cstheme="minorHAnsi"/>
        </w:rPr>
        <w:t>, ‘</w:t>
      </w:r>
      <w:proofErr w:type="spellStart"/>
      <w:r w:rsidRPr="00042E84">
        <w:rPr>
          <w:rFonts w:cstheme="minorHAnsi"/>
        </w:rPr>
        <w:t>Weibliche</w:t>
      </w:r>
      <w:proofErr w:type="spellEnd"/>
      <w:r w:rsidRPr="00042E84">
        <w:rPr>
          <w:rFonts w:cstheme="minorHAnsi"/>
        </w:rPr>
        <w:t xml:space="preserve"> </w:t>
      </w:r>
      <w:proofErr w:type="spellStart"/>
      <w:r w:rsidRPr="00042E84">
        <w:rPr>
          <w:rFonts w:cstheme="minorHAnsi"/>
        </w:rPr>
        <w:t>Bildung</w:t>
      </w:r>
      <w:proofErr w:type="spellEnd"/>
      <w:r w:rsidRPr="00042E84">
        <w:rPr>
          <w:rFonts w:cstheme="minorHAnsi"/>
        </w:rPr>
        <w:t xml:space="preserve"> and </w:t>
      </w:r>
      <w:proofErr w:type="spellStart"/>
      <w:r w:rsidRPr="00042E84">
        <w:rPr>
          <w:rFonts w:cstheme="minorHAnsi"/>
        </w:rPr>
        <w:t>Bildungspolitik</w:t>
      </w:r>
      <w:proofErr w:type="spellEnd"/>
      <w:r w:rsidRPr="00042E84">
        <w:rPr>
          <w:rFonts w:cstheme="minorHAnsi"/>
        </w:rPr>
        <w:t xml:space="preserve">: das International Council of Women und seine </w:t>
      </w:r>
      <w:proofErr w:type="spellStart"/>
      <w:r w:rsidRPr="00042E84">
        <w:rPr>
          <w:rFonts w:cstheme="minorHAnsi"/>
        </w:rPr>
        <w:t>Kongresse</w:t>
      </w:r>
      <w:proofErr w:type="spellEnd"/>
      <w:r w:rsidRPr="00042E84">
        <w:rPr>
          <w:rFonts w:cstheme="minorHAnsi"/>
        </w:rPr>
        <w:t xml:space="preserve"> in Chicago (1893), London (1899) und Berlin (1904), </w:t>
      </w:r>
      <w:r w:rsidRPr="00042E84">
        <w:rPr>
          <w:rFonts w:cstheme="minorHAnsi"/>
          <w:i/>
        </w:rPr>
        <w:t xml:space="preserve">Paedagogica Historica </w:t>
      </w:r>
      <w:r w:rsidRPr="00042E84">
        <w:rPr>
          <w:rFonts w:cstheme="minorHAnsi"/>
        </w:rPr>
        <w:t xml:space="preserve">44, no.4 (2008): 327-46Sian Roberts, ‘Exhibiting Children at risk: Child Art, International Exhibitions and Save the Children Fund in Vienna, 1919-1923’, </w:t>
      </w:r>
      <w:r w:rsidRPr="00042E84">
        <w:rPr>
          <w:rFonts w:cstheme="minorHAnsi"/>
          <w:i/>
        </w:rPr>
        <w:t>Paedagogica Historica</w:t>
      </w:r>
      <w:r w:rsidRPr="00042E84">
        <w:rPr>
          <w:rFonts w:cstheme="minorHAnsi"/>
        </w:rPr>
        <w:t xml:space="preserve">, 45, nos. 1&amp;2 (2009): 171-90; </w:t>
      </w:r>
      <w:proofErr w:type="spellStart"/>
      <w:r w:rsidRPr="00042E84">
        <w:rPr>
          <w:rFonts w:cstheme="minorHAnsi"/>
        </w:rPr>
        <w:t>Siân</w:t>
      </w:r>
      <w:proofErr w:type="spellEnd"/>
      <w:r w:rsidRPr="00042E84">
        <w:rPr>
          <w:rFonts w:cstheme="minorHAnsi"/>
        </w:rPr>
        <w:t xml:space="preserve"> Roberts, ‘”I promised them that I would tell England about them”: a woman teacher activist’s life in popular humanitarian education’, </w:t>
      </w:r>
      <w:r w:rsidRPr="00042E84">
        <w:rPr>
          <w:rFonts w:cstheme="minorHAnsi"/>
          <w:i/>
        </w:rPr>
        <w:t>Paedagogica Historica</w:t>
      </w:r>
      <w:r w:rsidRPr="00042E84">
        <w:rPr>
          <w:rFonts w:cstheme="minorHAnsi"/>
        </w:rPr>
        <w:t>, 47, nos.1&amp;2 (2011), 155-72</w:t>
      </w:r>
    </w:p>
  </w:footnote>
  <w:footnote w:id="30">
    <w:p w:rsidR="00042E84" w:rsidRPr="00042E84" w:rsidRDefault="00042E84">
      <w:pPr>
        <w:pStyle w:val="FootnoteText"/>
        <w:rPr>
          <w:rFonts w:cstheme="minorHAnsi"/>
        </w:rPr>
      </w:pPr>
      <w:r w:rsidRPr="00042E84">
        <w:rPr>
          <w:rStyle w:val="FootnoteReference"/>
          <w:rFonts w:cstheme="minorHAnsi"/>
        </w:rPr>
        <w:footnoteRef/>
      </w:r>
      <w:r w:rsidRPr="00042E84">
        <w:rPr>
          <w:rFonts w:cstheme="minorHAnsi"/>
        </w:rPr>
        <w:t xml:space="preserve"> </w:t>
      </w:r>
      <w:r w:rsidR="003F29DB">
        <w:rPr>
          <w:rFonts w:cstheme="minorHAnsi"/>
        </w:rPr>
        <w:t xml:space="preserve">Whitehead, ‘Transnational Connections’; </w:t>
      </w:r>
      <w:r w:rsidRPr="00042E84">
        <w:rPr>
          <w:rFonts w:cstheme="minorHAnsi"/>
        </w:rPr>
        <w:t xml:space="preserve">Kay Whitehead and Judith </w:t>
      </w:r>
      <w:proofErr w:type="spellStart"/>
      <w:r w:rsidRPr="00042E84">
        <w:rPr>
          <w:rFonts w:cstheme="minorHAnsi"/>
        </w:rPr>
        <w:t>Peppard</w:t>
      </w:r>
      <w:proofErr w:type="spellEnd"/>
      <w:r w:rsidRPr="00042E84">
        <w:rPr>
          <w:rFonts w:cstheme="minorHAnsi"/>
        </w:rPr>
        <w:t xml:space="preserve">, ‘Transnational Innovations, Local Conditions and Disruptive Teachers and Students in Interwar Education’, </w:t>
      </w:r>
      <w:r w:rsidRPr="00042E84">
        <w:rPr>
          <w:rFonts w:cstheme="minorHAnsi"/>
          <w:i/>
        </w:rPr>
        <w:t>Paedagogica Historica</w:t>
      </w:r>
      <w:r w:rsidRPr="00042E84">
        <w:rPr>
          <w:rFonts w:cstheme="minorHAnsi"/>
        </w:rPr>
        <w:t xml:space="preserve">, 42, nos. 1&amp;2 (2006): 177-89 and Kay Whitehead, ’”A Decided Disadvantage for the Kindergarten Students to Mix with the State Teachers”’, </w:t>
      </w:r>
      <w:r w:rsidRPr="00042E84">
        <w:rPr>
          <w:rFonts w:cstheme="minorHAnsi"/>
          <w:i/>
        </w:rPr>
        <w:t>Paedagogica Historica</w:t>
      </w:r>
      <w:r w:rsidRPr="00042E84">
        <w:rPr>
          <w:rFonts w:cstheme="minorHAnsi"/>
        </w:rPr>
        <w:t>, 46, nos. 1&amp;2 (2010): 85-97</w:t>
      </w:r>
    </w:p>
  </w:footnote>
  <w:footnote w:id="31">
    <w:p w:rsidR="00042E84" w:rsidRPr="00042E84" w:rsidRDefault="00042E84" w:rsidP="00785576">
      <w:pPr>
        <w:pStyle w:val="NoSpacing"/>
        <w:spacing w:line="276" w:lineRule="auto"/>
        <w:rPr>
          <w:rFonts w:cstheme="minorHAnsi"/>
          <w:sz w:val="20"/>
          <w:szCs w:val="20"/>
        </w:rPr>
      </w:pPr>
      <w:r w:rsidRPr="00042E84">
        <w:rPr>
          <w:rStyle w:val="FootnoteReference"/>
          <w:rFonts w:cstheme="minorHAnsi"/>
          <w:sz w:val="20"/>
          <w:szCs w:val="20"/>
        </w:rPr>
        <w:footnoteRef/>
      </w:r>
      <w:r w:rsidRPr="00042E84">
        <w:rPr>
          <w:rFonts w:cstheme="minorHAnsi"/>
          <w:sz w:val="20"/>
          <w:szCs w:val="20"/>
        </w:rPr>
        <w:t xml:space="preserve"> Andreas </w:t>
      </w:r>
      <w:proofErr w:type="spellStart"/>
      <w:r w:rsidRPr="00042E84">
        <w:rPr>
          <w:rFonts w:cstheme="minorHAnsi"/>
          <w:sz w:val="20"/>
          <w:szCs w:val="20"/>
        </w:rPr>
        <w:t>Rutz</w:t>
      </w:r>
      <w:proofErr w:type="spellEnd"/>
      <w:r w:rsidRPr="00042E84">
        <w:rPr>
          <w:rFonts w:cstheme="minorHAnsi"/>
          <w:sz w:val="20"/>
          <w:szCs w:val="20"/>
        </w:rPr>
        <w:t xml:space="preserve">, ‘Elementary Education and the Practices of Literacy in Catholic Girls’ Schools in Early Modern Germany’, </w:t>
      </w:r>
      <w:r w:rsidRPr="00042E84">
        <w:rPr>
          <w:rFonts w:cstheme="minorHAnsi"/>
          <w:i/>
          <w:sz w:val="20"/>
          <w:szCs w:val="20"/>
        </w:rPr>
        <w:t>Paedagogica Historica</w:t>
      </w:r>
      <w:r w:rsidRPr="00042E84">
        <w:rPr>
          <w:rFonts w:cstheme="minorHAnsi"/>
          <w:sz w:val="20"/>
          <w:szCs w:val="20"/>
        </w:rPr>
        <w:t>, 48, no. 2 (2012): 283-98</w:t>
      </w:r>
      <w:r>
        <w:rPr>
          <w:rFonts w:cstheme="minorHAnsi"/>
          <w:sz w:val="20"/>
          <w:szCs w:val="20"/>
        </w:rPr>
        <w:t>;</w:t>
      </w:r>
      <w:r w:rsidRPr="00042E84">
        <w:rPr>
          <w:rFonts w:cstheme="minorHAnsi"/>
          <w:sz w:val="20"/>
          <w:szCs w:val="20"/>
        </w:rPr>
        <w:t xml:space="preserve">Deidre Raftery, ‘The “Mission” of Nuns in Female Education in Ireland, c.1850-1950’, </w:t>
      </w:r>
      <w:r w:rsidRPr="00042E84">
        <w:rPr>
          <w:rFonts w:cstheme="minorHAnsi"/>
          <w:i/>
          <w:sz w:val="20"/>
          <w:szCs w:val="20"/>
        </w:rPr>
        <w:t>Paedagogica Historica</w:t>
      </w:r>
      <w:r w:rsidRPr="00042E84">
        <w:rPr>
          <w:rFonts w:cstheme="minorHAnsi"/>
          <w:sz w:val="20"/>
          <w:szCs w:val="20"/>
        </w:rPr>
        <w:t xml:space="preserve">, 48, no. 2 (2012): 299-313; Sue Middleton, ‘Putting Sylvia in her Place: History, Geographical Theory and the “New” Education’, </w:t>
      </w:r>
      <w:r w:rsidRPr="00042E84">
        <w:rPr>
          <w:rFonts w:cstheme="minorHAnsi"/>
          <w:i/>
          <w:sz w:val="20"/>
          <w:szCs w:val="20"/>
        </w:rPr>
        <w:t>Paedagogica Historica</w:t>
      </w:r>
      <w:r w:rsidRPr="00042E84">
        <w:rPr>
          <w:rFonts w:cstheme="minorHAnsi"/>
          <w:sz w:val="20"/>
          <w:szCs w:val="20"/>
        </w:rPr>
        <w:t>, 48, no. 2 (2012): 263-82</w:t>
      </w:r>
    </w:p>
  </w:footnote>
  <w:footnote w:id="32">
    <w:p w:rsidR="00042E84" w:rsidRPr="00042E84" w:rsidRDefault="00042E84">
      <w:pPr>
        <w:pStyle w:val="FootnoteText"/>
        <w:rPr>
          <w:rFonts w:cstheme="minorHAnsi"/>
        </w:rPr>
      </w:pPr>
      <w:r w:rsidRPr="00042E84">
        <w:rPr>
          <w:rStyle w:val="FootnoteReference"/>
          <w:rFonts w:cstheme="minorHAnsi"/>
        </w:rPr>
        <w:footnoteRef/>
      </w:r>
      <w:r w:rsidRPr="00042E84">
        <w:rPr>
          <w:rFonts w:cstheme="minorHAnsi"/>
        </w:rPr>
        <w:t xml:space="preserve"> </w:t>
      </w:r>
      <w:proofErr w:type="spellStart"/>
      <w:r w:rsidRPr="00042E84">
        <w:rPr>
          <w:rFonts w:cstheme="minorHAnsi"/>
        </w:rPr>
        <w:t>Despina</w:t>
      </w:r>
      <w:proofErr w:type="spellEnd"/>
      <w:r w:rsidRPr="00042E84">
        <w:rPr>
          <w:rFonts w:cstheme="minorHAnsi"/>
        </w:rPr>
        <w:t xml:space="preserve"> </w:t>
      </w:r>
      <w:proofErr w:type="spellStart"/>
      <w:r w:rsidRPr="00042E84">
        <w:rPr>
          <w:rFonts w:cstheme="minorHAnsi"/>
        </w:rPr>
        <w:t>Stratigakos</w:t>
      </w:r>
      <w:proofErr w:type="spellEnd"/>
      <w:r w:rsidRPr="00042E84">
        <w:rPr>
          <w:rFonts w:cstheme="minorHAnsi"/>
        </w:rPr>
        <w:t xml:space="preserve">, ‘”I Myself Want to Build”: Women, Architectural Education and the integration of Germany’s Technical Colleges’, </w:t>
      </w:r>
      <w:r w:rsidRPr="00042E84">
        <w:rPr>
          <w:rFonts w:cstheme="minorHAnsi"/>
          <w:i/>
        </w:rPr>
        <w:t>Paedagogica Historica</w:t>
      </w:r>
      <w:r w:rsidRPr="00042E84">
        <w:rPr>
          <w:rFonts w:cstheme="minorHAnsi"/>
        </w:rPr>
        <w:t xml:space="preserve"> 43, no.4 (2007): 727-56</w:t>
      </w:r>
    </w:p>
  </w:footnote>
  <w:footnote w:id="33">
    <w:p w:rsidR="00042E84" w:rsidRPr="00042E84" w:rsidRDefault="00042E84">
      <w:pPr>
        <w:pStyle w:val="FootnoteText"/>
        <w:rPr>
          <w:rFonts w:cstheme="minorHAnsi"/>
        </w:rPr>
      </w:pPr>
      <w:r w:rsidRPr="00042E84">
        <w:rPr>
          <w:rStyle w:val="FootnoteReference"/>
          <w:rFonts w:cstheme="minorHAnsi"/>
        </w:rPr>
        <w:footnoteRef/>
      </w:r>
      <w:r w:rsidRPr="00042E84">
        <w:rPr>
          <w:rFonts w:cstheme="minorHAnsi"/>
        </w:rPr>
        <w:t xml:space="preserve"> </w:t>
      </w:r>
      <w:proofErr w:type="spellStart"/>
      <w:r w:rsidRPr="00042E84">
        <w:rPr>
          <w:rFonts w:cstheme="minorHAnsi"/>
        </w:rPr>
        <w:t>Patrizia</w:t>
      </w:r>
      <w:proofErr w:type="spellEnd"/>
      <w:r w:rsidRPr="00042E84">
        <w:rPr>
          <w:rFonts w:cstheme="minorHAnsi"/>
        </w:rPr>
        <w:t xml:space="preserve"> </w:t>
      </w:r>
      <w:proofErr w:type="spellStart"/>
      <w:r w:rsidRPr="00042E84">
        <w:rPr>
          <w:rFonts w:cstheme="minorHAnsi"/>
        </w:rPr>
        <w:t>Delpiano</w:t>
      </w:r>
      <w:proofErr w:type="spellEnd"/>
      <w:r w:rsidRPr="00042E84">
        <w:rPr>
          <w:rFonts w:cstheme="minorHAnsi"/>
        </w:rPr>
        <w:t xml:space="preserve"> and </w:t>
      </w:r>
      <w:proofErr w:type="spellStart"/>
      <w:r w:rsidRPr="00042E84">
        <w:rPr>
          <w:rFonts w:cstheme="minorHAnsi"/>
        </w:rPr>
        <w:t>Raffaella</w:t>
      </w:r>
      <w:proofErr w:type="spellEnd"/>
      <w:r w:rsidRPr="00042E84">
        <w:rPr>
          <w:rFonts w:cstheme="minorHAnsi"/>
        </w:rPr>
        <w:t xml:space="preserve"> </w:t>
      </w:r>
      <w:proofErr w:type="spellStart"/>
      <w:r w:rsidRPr="00042E84">
        <w:rPr>
          <w:rFonts w:cstheme="minorHAnsi"/>
        </w:rPr>
        <w:t>Sarti</w:t>
      </w:r>
      <w:proofErr w:type="spellEnd"/>
      <w:r w:rsidRPr="00042E84">
        <w:rPr>
          <w:rFonts w:cstheme="minorHAnsi"/>
        </w:rPr>
        <w:t xml:space="preserve">, eds., Servants, Domestic Servants and Children, the Role of Domestic Personnel in the Upbringing and Education of the Master’s and Employer’s Children from the Sixteenth to the Twenty-First Centuries, </w:t>
      </w:r>
      <w:r w:rsidRPr="00042E84">
        <w:rPr>
          <w:rFonts w:cstheme="minorHAnsi"/>
          <w:i/>
        </w:rPr>
        <w:t>Paedagogica Historica</w:t>
      </w:r>
      <w:r w:rsidRPr="00042E84">
        <w:rPr>
          <w:rFonts w:cstheme="minorHAnsi"/>
        </w:rPr>
        <w:t xml:space="preserve"> 43, no.4 (2007)</w:t>
      </w:r>
    </w:p>
  </w:footnote>
  <w:footnote w:id="34">
    <w:p w:rsidR="00042E84" w:rsidRPr="00042E84" w:rsidRDefault="00042E84">
      <w:pPr>
        <w:pStyle w:val="FootnoteText"/>
        <w:rPr>
          <w:rFonts w:cstheme="minorHAnsi"/>
        </w:rPr>
      </w:pPr>
      <w:r w:rsidRPr="00042E84">
        <w:rPr>
          <w:rStyle w:val="FootnoteReference"/>
          <w:rFonts w:cstheme="minorHAnsi"/>
        </w:rPr>
        <w:footnoteRef/>
      </w:r>
      <w:r w:rsidRPr="00042E84">
        <w:rPr>
          <w:rFonts w:cstheme="minorHAnsi"/>
        </w:rPr>
        <w:t xml:space="preserve"> </w:t>
      </w:r>
      <w:proofErr w:type="spellStart"/>
      <w:r w:rsidRPr="00042E84">
        <w:rPr>
          <w:rFonts w:cstheme="minorHAnsi"/>
        </w:rPr>
        <w:t>Véronique</w:t>
      </w:r>
      <w:proofErr w:type="spellEnd"/>
      <w:r w:rsidRPr="00042E84">
        <w:rPr>
          <w:rFonts w:cstheme="minorHAnsi"/>
        </w:rPr>
        <w:t xml:space="preserve"> </w:t>
      </w:r>
      <w:proofErr w:type="spellStart"/>
      <w:r w:rsidRPr="00042E84">
        <w:rPr>
          <w:rFonts w:cstheme="minorHAnsi"/>
        </w:rPr>
        <w:t>Pache</w:t>
      </w:r>
      <w:proofErr w:type="spellEnd"/>
      <w:r w:rsidRPr="00042E84">
        <w:rPr>
          <w:rFonts w:cstheme="minorHAnsi"/>
        </w:rPr>
        <w:t xml:space="preserve"> Huber and </w:t>
      </w:r>
      <w:proofErr w:type="spellStart"/>
      <w:r w:rsidRPr="00042E84">
        <w:rPr>
          <w:rFonts w:cstheme="minorHAnsi"/>
        </w:rPr>
        <w:t>Véronique</w:t>
      </w:r>
      <w:proofErr w:type="spellEnd"/>
      <w:r w:rsidRPr="00042E84">
        <w:rPr>
          <w:rFonts w:cstheme="minorHAnsi"/>
        </w:rPr>
        <w:t xml:space="preserve"> </w:t>
      </w:r>
      <w:proofErr w:type="spellStart"/>
      <w:r w:rsidRPr="00042E84">
        <w:rPr>
          <w:rFonts w:cstheme="minorHAnsi"/>
        </w:rPr>
        <w:t>Dasen</w:t>
      </w:r>
      <w:proofErr w:type="spellEnd"/>
      <w:r w:rsidRPr="00042E84">
        <w:rPr>
          <w:rFonts w:cstheme="minorHAnsi"/>
        </w:rPr>
        <w:t xml:space="preserve"> eds., Politics of Child Care in Historical Perspective, From the World of Wet Nurses to the Networks of Family Child Care Providers, </w:t>
      </w:r>
      <w:r w:rsidRPr="00042E84">
        <w:rPr>
          <w:rFonts w:cstheme="minorHAnsi"/>
          <w:i/>
        </w:rPr>
        <w:t xml:space="preserve">Paedagogica Historica </w:t>
      </w:r>
      <w:r w:rsidRPr="00042E84">
        <w:rPr>
          <w:rFonts w:cstheme="minorHAnsi"/>
        </w:rPr>
        <w:t>46, no.6 (2010)</w:t>
      </w:r>
    </w:p>
  </w:footnote>
  <w:footnote w:id="35">
    <w:p w:rsidR="00042E84" w:rsidRPr="003F29DB" w:rsidRDefault="00042E84">
      <w:pPr>
        <w:pStyle w:val="FootnoteText"/>
        <w:rPr>
          <w:rFonts w:cstheme="minorHAnsi"/>
        </w:rPr>
      </w:pPr>
      <w:r w:rsidRPr="003F29DB">
        <w:rPr>
          <w:rStyle w:val="FootnoteReference"/>
          <w:rFonts w:cstheme="minorHAnsi"/>
        </w:rPr>
        <w:footnoteRef/>
      </w:r>
      <w:r w:rsidRPr="003F29DB">
        <w:rPr>
          <w:rFonts w:cstheme="minorHAnsi"/>
        </w:rPr>
        <w:t xml:space="preserve"> Annemieke van Drenth and Mineke van Essen, ‘Dutch Special Education Schools for Children with Learning Disabilities in the Interwar Period’, </w:t>
      </w:r>
      <w:r w:rsidRPr="003F29DB">
        <w:rPr>
          <w:rFonts w:cstheme="minorHAnsi"/>
          <w:i/>
        </w:rPr>
        <w:t>Paedagogica Historica</w:t>
      </w:r>
      <w:r w:rsidRPr="003F29DB">
        <w:rPr>
          <w:rFonts w:cstheme="minorHAnsi"/>
        </w:rPr>
        <w:t>, 47, no. 6 (2011): 805-24</w:t>
      </w:r>
    </w:p>
  </w:footnote>
  <w:footnote w:id="36">
    <w:p w:rsidR="00F46362" w:rsidRPr="00F46362" w:rsidRDefault="00F46362" w:rsidP="00D022A9">
      <w:pPr>
        <w:pStyle w:val="NoSpacing"/>
        <w:rPr>
          <w:rFonts w:cstheme="minorHAnsi"/>
          <w:sz w:val="20"/>
          <w:szCs w:val="20"/>
        </w:rPr>
      </w:pPr>
      <w:r w:rsidRPr="003F29DB">
        <w:rPr>
          <w:rStyle w:val="FootnoteReference"/>
          <w:rFonts w:cstheme="minorHAnsi"/>
          <w:sz w:val="20"/>
          <w:szCs w:val="20"/>
        </w:rPr>
        <w:footnoteRef/>
      </w:r>
      <w:r w:rsidRPr="003F29DB">
        <w:rPr>
          <w:rFonts w:cstheme="minorHAnsi"/>
          <w:sz w:val="20"/>
          <w:szCs w:val="20"/>
        </w:rPr>
        <w:t xml:space="preserve"> </w:t>
      </w:r>
      <w:r w:rsidRPr="003F29DB">
        <w:rPr>
          <w:rFonts w:cstheme="minorHAnsi"/>
          <w:i/>
          <w:sz w:val="20"/>
          <w:szCs w:val="20"/>
        </w:rPr>
        <w:t>Paedagogica Historica</w:t>
      </w:r>
      <w:r w:rsidRPr="003F29DB">
        <w:rPr>
          <w:rFonts w:cstheme="minorHAnsi"/>
          <w:sz w:val="20"/>
          <w:szCs w:val="20"/>
        </w:rPr>
        <w:t>, 39, no. 6 (2003): 685-735 - theme of ‘Discourses of Masturbation’ with articles by Lesley A. Hall, Mich</w:t>
      </w:r>
      <w:r>
        <w:rPr>
          <w:rFonts w:cstheme="minorHAnsi"/>
          <w:sz w:val="20"/>
          <w:szCs w:val="20"/>
        </w:rPr>
        <w:t xml:space="preserve">ael Stolberg and Franz X. Elder; Bernardo Rodriguez </w:t>
      </w:r>
      <w:proofErr w:type="spellStart"/>
      <w:r>
        <w:rPr>
          <w:rFonts w:cstheme="minorHAnsi"/>
          <w:sz w:val="20"/>
          <w:szCs w:val="20"/>
        </w:rPr>
        <w:t>Caparinni</w:t>
      </w:r>
      <w:proofErr w:type="spellEnd"/>
      <w:r>
        <w:rPr>
          <w:rFonts w:cstheme="minorHAnsi"/>
          <w:sz w:val="20"/>
          <w:szCs w:val="20"/>
        </w:rPr>
        <w:t xml:space="preserve">, ’A Catholic Public School in the Making; Beaumont College during the Rectorate of the Reverend Joseph M. </w:t>
      </w:r>
      <w:proofErr w:type="spellStart"/>
      <w:r>
        <w:rPr>
          <w:rFonts w:cstheme="minorHAnsi"/>
          <w:sz w:val="20"/>
          <w:szCs w:val="20"/>
        </w:rPr>
        <w:t>Bampton</w:t>
      </w:r>
      <w:proofErr w:type="spellEnd"/>
      <w:r>
        <w:rPr>
          <w:rFonts w:cstheme="minorHAnsi"/>
          <w:sz w:val="20"/>
          <w:szCs w:val="20"/>
        </w:rPr>
        <w:t>, S.J.(1901-1908). His implementation of the “Captain” System of Discipline’</w:t>
      </w:r>
      <w:r w:rsidRPr="00F46362">
        <w:rPr>
          <w:rFonts w:cstheme="minorHAnsi"/>
          <w:sz w:val="20"/>
          <w:szCs w:val="20"/>
        </w:rPr>
        <w:t xml:space="preserve">, </w:t>
      </w:r>
      <w:r w:rsidRPr="00F46362">
        <w:rPr>
          <w:rFonts w:cstheme="minorHAnsi"/>
          <w:i/>
          <w:sz w:val="20"/>
          <w:szCs w:val="20"/>
        </w:rPr>
        <w:t>Paedagogica Historica</w:t>
      </w:r>
      <w:r w:rsidRPr="00F46362">
        <w:rPr>
          <w:rFonts w:cstheme="minorHAnsi"/>
          <w:sz w:val="20"/>
          <w:szCs w:val="20"/>
        </w:rPr>
        <w:t>, 39, no. 6 (2003): 737-57</w:t>
      </w:r>
    </w:p>
  </w:footnote>
  <w:footnote w:id="37">
    <w:p w:rsidR="00042E84" w:rsidRPr="003F29DB" w:rsidRDefault="00042E84">
      <w:pPr>
        <w:pStyle w:val="FootnoteText"/>
        <w:rPr>
          <w:rFonts w:cstheme="minorHAnsi"/>
        </w:rPr>
      </w:pPr>
      <w:r w:rsidRPr="003F29DB">
        <w:rPr>
          <w:rStyle w:val="FootnoteReference"/>
          <w:rFonts w:cstheme="minorHAnsi"/>
        </w:rPr>
        <w:footnoteRef/>
      </w:r>
      <w:r w:rsidRPr="003F29DB">
        <w:rPr>
          <w:rFonts w:cstheme="minorHAnsi"/>
        </w:rPr>
        <w:t xml:space="preserve"> Patrick Ryan, ‘”Young Rebels flee Psychology”: Individual Intelligence, Race and Foster Children in Cleveland, Ohio between the World Wars’, </w:t>
      </w:r>
      <w:r w:rsidRPr="003F29DB">
        <w:rPr>
          <w:rFonts w:cstheme="minorHAnsi"/>
          <w:i/>
        </w:rPr>
        <w:t>Paedagogica Historica</w:t>
      </w:r>
      <w:r w:rsidRPr="003F29DB">
        <w:rPr>
          <w:rFonts w:cstheme="minorHAnsi"/>
        </w:rPr>
        <w:t>, 47, no. 6 (2011): 767-83</w:t>
      </w:r>
    </w:p>
  </w:footnote>
  <w:footnote w:id="38">
    <w:p w:rsidR="00042E84" w:rsidRPr="003F29DB" w:rsidRDefault="00042E84">
      <w:pPr>
        <w:pStyle w:val="FootnoteText"/>
        <w:rPr>
          <w:rFonts w:cstheme="minorHAnsi"/>
        </w:rPr>
      </w:pPr>
      <w:r w:rsidRPr="003F29DB">
        <w:rPr>
          <w:rStyle w:val="FootnoteReference"/>
          <w:rFonts w:cstheme="minorHAnsi"/>
        </w:rPr>
        <w:footnoteRef/>
      </w:r>
      <w:r w:rsidRPr="003F29DB">
        <w:rPr>
          <w:rFonts w:cstheme="minorHAnsi"/>
        </w:rPr>
        <w:t xml:space="preserve"> Maria </w:t>
      </w:r>
      <w:proofErr w:type="spellStart"/>
      <w:r w:rsidRPr="003F29DB">
        <w:rPr>
          <w:rFonts w:cstheme="minorHAnsi"/>
        </w:rPr>
        <w:t>Iolanda</w:t>
      </w:r>
      <w:proofErr w:type="spellEnd"/>
      <w:r w:rsidRPr="003F29DB">
        <w:rPr>
          <w:rFonts w:cstheme="minorHAnsi"/>
        </w:rPr>
        <w:t xml:space="preserve"> </w:t>
      </w:r>
      <w:proofErr w:type="spellStart"/>
      <w:r w:rsidRPr="003F29DB">
        <w:rPr>
          <w:rFonts w:cstheme="minorHAnsi"/>
        </w:rPr>
        <w:t>Monteiro</w:t>
      </w:r>
      <w:proofErr w:type="spellEnd"/>
      <w:r w:rsidRPr="003F29DB">
        <w:rPr>
          <w:rFonts w:cstheme="minorHAnsi"/>
        </w:rPr>
        <w:t xml:space="preserve"> and </w:t>
      </w:r>
      <w:proofErr w:type="spellStart"/>
      <w:r w:rsidRPr="003F29DB">
        <w:rPr>
          <w:rFonts w:cstheme="minorHAnsi"/>
        </w:rPr>
        <w:t>Belmira</w:t>
      </w:r>
      <w:proofErr w:type="spellEnd"/>
      <w:r w:rsidRPr="003F29DB">
        <w:rPr>
          <w:rFonts w:cstheme="minorHAnsi"/>
        </w:rPr>
        <w:t xml:space="preserve"> Oliveira </w:t>
      </w:r>
      <w:proofErr w:type="spellStart"/>
      <w:r w:rsidRPr="003F29DB">
        <w:rPr>
          <w:rFonts w:cstheme="minorHAnsi"/>
        </w:rPr>
        <w:t>Bueno</w:t>
      </w:r>
      <w:proofErr w:type="spellEnd"/>
      <w:r w:rsidRPr="003F29DB">
        <w:rPr>
          <w:rFonts w:cstheme="minorHAnsi"/>
        </w:rPr>
        <w:t xml:space="preserve">, ‘Knowledge and Practices of Successful Literacy Teachers (Brazil, 1950-1980), </w:t>
      </w:r>
      <w:r w:rsidRPr="003F29DB">
        <w:rPr>
          <w:rFonts w:cstheme="minorHAnsi"/>
          <w:i/>
        </w:rPr>
        <w:t>Paedagogica Historica</w:t>
      </w:r>
      <w:r w:rsidRPr="003F29DB">
        <w:rPr>
          <w:rFonts w:cstheme="minorHAnsi"/>
        </w:rPr>
        <w:t xml:space="preserve">, 44, nos. 1&amp;2 (2008): 179-91; </w:t>
      </w:r>
      <w:proofErr w:type="spellStart"/>
      <w:r w:rsidRPr="003F29DB">
        <w:rPr>
          <w:rFonts w:cstheme="minorHAnsi"/>
        </w:rPr>
        <w:t>Kaisa</w:t>
      </w:r>
      <w:proofErr w:type="spellEnd"/>
      <w:r w:rsidRPr="003F29DB">
        <w:rPr>
          <w:rFonts w:cstheme="minorHAnsi"/>
        </w:rPr>
        <w:t xml:space="preserve"> </w:t>
      </w:r>
      <w:proofErr w:type="spellStart"/>
      <w:r w:rsidRPr="003F29DB">
        <w:rPr>
          <w:rFonts w:cstheme="minorHAnsi"/>
        </w:rPr>
        <w:t>Vehkalati</w:t>
      </w:r>
      <w:proofErr w:type="spellEnd"/>
      <w:r w:rsidRPr="003F29DB">
        <w:rPr>
          <w:rFonts w:cstheme="minorHAnsi"/>
        </w:rPr>
        <w:t xml:space="preserve">, ‘The Urge to see inside and cure: Letter-writings as an Educational Tool in Finish Reform School Education, 1915-28’, </w:t>
      </w:r>
      <w:r w:rsidRPr="003F29DB">
        <w:rPr>
          <w:rFonts w:cstheme="minorHAnsi"/>
          <w:i/>
        </w:rPr>
        <w:t>Paedagogica Historica</w:t>
      </w:r>
      <w:r w:rsidRPr="003F29DB">
        <w:rPr>
          <w:rFonts w:cstheme="minorHAnsi"/>
        </w:rPr>
        <w:t>, 44, nos. 1&amp;2 (2008): 193-205</w:t>
      </w:r>
    </w:p>
  </w:footnote>
  <w:footnote w:id="39">
    <w:p w:rsidR="00042E84" w:rsidRPr="003F29DB" w:rsidRDefault="00042E84">
      <w:pPr>
        <w:pStyle w:val="FootnoteText"/>
        <w:rPr>
          <w:rFonts w:cstheme="minorHAnsi"/>
        </w:rPr>
      </w:pPr>
      <w:r w:rsidRPr="003F29DB">
        <w:rPr>
          <w:rStyle w:val="FootnoteReference"/>
          <w:rFonts w:cstheme="minorHAnsi"/>
        </w:rPr>
        <w:footnoteRef/>
      </w:r>
      <w:r w:rsidRPr="003F29DB">
        <w:rPr>
          <w:rFonts w:cstheme="minorHAnsi"/>
        </w:rPr>
        <w:t xml:space="preserve"> </w:t>
      </w:r>
      <w:r w:rsidRPr="003F29DB">
        <w:rPr>
          <w:rFonts w:cstheme="minorHAnsi"/>
          <w:i/>
        </w:rPr>
        <w:t>Paedagogica Historica</w:t>
      </w:r>
      <w:r w:rsidRPr="003F29DB">
        <w:rPr>
          <w:rFonts w:cstheme="minorHAnsi"/>
        </w:rPr>
        <w:t xml:space="preserve"> 46 (2010), no. 4 ‘Education and Latin American Independence: Forging Polities, Inventing Republics, Reshaping Identities’ ed. Marcelo Caruso, </w:t>
      </w:r>
      <w:proofErr w:type="spellStart"/>
      <w:r w:rsidRPr="003F29DB">
        <w:rPr>
          <w:rFonts w:cstheme="minorHAnsi"/>
        </w:rPr>
        <w:t>Jeroen</w:t>
      </w:r>
      <w:proofErr w:type="spellEnd"/>
      <w:r w:rsidRPr="003F29DB">
        <w:rPr>
          <w:rFonts w:cstheme="minorHAnsi"/>
        </w:rPr>
        <w:t xml:space="preserve"> Dekker and Ian Grosvenor</w:t>
      </w:r>
    </w:p>
  </w:footnote>
  <w:footnote w:id="40">
    <w:p w:rsidR="00042E84" w:rsidRPr="003F29DB" w:rsidRDefault="00042E84">
      <w:pPr>
        <w:pStyle w:val="FootnoteText"/>
        <w:rPr>
          <w:rFonts w:cstheme="minorHAnsi"/>
        </w:rPr>
      </w:pPr>
      <w:r w:rsidRPr="003F29DB">
        <w:rPr>
          <w:rStyle w:val="FootnoteReference"/>
          <w:rFonts w:cstheme="minorHAnsi"/>
        </w:rPr>
        <w:footnoteRef/>
      </w:r>
      <w:r w:rsidRPr="003F29DB">
        <w:rPr>
          <w:rFonts w:cstheme="minorHAnsi"/>
        </w:rPr>
        <w:t xml:space="preserve"> E.g. Ingrid Lohmann and Christine Mayer, ‘Dimensions of Eighteenth-century Educational Thinking in Germany: Rhetoric and Gender Anthropology’, </w:t>
      </w:r>
      <w:r w:rsidRPr="003F29DB">
        <w:rPr>
          <w:rFonts w:cstheme="minorHAnsi"/>
          <w:i/>
        </w:rPr>
        <w:t xml:space="preserve">History of Education </w:t>
      </w:r>
      <w:r w:rsidRPr="003F29DB">
        <w:rPr>
          <w:rFonts w:cstheme="minorHAnsi"/>
        </w:rPr>
        <w:t>37, no.1 (2008): 113-139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96698"/>
      <w:docPartObj>
        <w:docPartGallery w:val="Page Numbers (Top of Page)"/>
        <w:docPartUnique/>
      </w:docPartObj>
    </w:sdtPr>
    <w:sdtContent>
      <w:p w:rsidR="00042E84" w:rsidRDefault="00E30A90">
        <w:pPr>
          <w:pStyle w:val="Header"/>
          <w:jc w:val="right"/>
        </w:pPr>
        <w:fldSimple w:instr=" PAGE   \* MERGEFORMAT ">
          <w:r w:rsidR="00E17D42">
            <w:rPr>
              <w:noProof/>
            </w:rPr>
            <w:t>1</w:t>
          </w:r>
        </w:fldSimple>
      </w:p>
    </w:sdtContent>
  </w:sdt>
  <w:p w:rsidR="00042E84" w:rsidRDefault="00042E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A23476"/>
    <w:lvl w:ilvl="0">
      <w:numFmt w:val="decimal"/>
      <w:lvlText w:val="*"/>
      <w:lvlJc w:val="left"/>
      <w:rPr>
        <w:rFonts w:cs="Times New Roman"/>
      </w:rPr>
    </w:lvl>
  </w:abstractNum>
  <w:abstractNum w:abstractNumId="1">
    <w:nsid w:val="00E214F5"/>
    <w:multiLevelType w:val="hybridMultilevel"/>
    <w:tmpl w:val="44B41744"/>
    <w:lvl w:ilvl="0" w:tplc="09869A98">
      <w:start w:val="1"/>
      <w:numFmt w:val="bullet"/>
      <w:lvlText w:val=""/>
      <w:lvlJc w:val="left"/>
      <w:pPr>
        <w:tabs>
          <w:tab w:val="num" w:pos="720"/>
        </w:tabs>
        <w:ind w:left="720" w:hanging="360"/>
      </w:pPr>
      <w:rPr>
        <w:rFonts w:ascii="Wingdings 2" w:hAnsi="Wingdings 2" w:hint="default"/>
      </w:rPr>
    </w:lvl>
    <w:lvl w:ilvl="1" w:tplc="5C42CEBC" w:tentative="1">
      <w:start w:val="1"/>
      <w:numFmt w:val="bullet"/>
      <w:lvlText w:val=""/>
      <w:lvlJc w:val="left"/>
      <w:pPr>
        <w:tabs>
          <w:tab w:val="num" w:pos="1440"/>
        </w:tabs>
        <w:ind w:left="1440" w:hanging="360"/>
      </w:pPr>
      <w:rPr>
        <w:rFonts w:ascii="Wingdings 2" w:hAnsi="Wingdings 2" w:hint="default"/>
      </w:rPr>
    </w:lvl>
    <w:lvl w:ilvl="2" w:tplc="B5FAD9D0" w:tentative="1">
      <w:start w:val="1"/>
      <w:numFmt w:val="bullet"/>
      <w:lvlText w:val=""/>
      <w:lvlJc w:val="left"/>
      <w:pPr>
        <w:tabs>
          <w:tab w:val="num" w:pos="2160"/>
        </w:tabs>
        <w:ind w:left="2160" w:hanging="360"/>
      </w:pPr>
      <w:rPr>
        <w:rFonts w:ascii="Wingdings 2" w:hAnsi="Wingdings 2" w:hint="default"/>
      </w:rPr>
    </w:lvl>
    <w:lvl w:ilvl="3" w:tplc="8638918A" w:tentative="1">
      <w:start w:val="1"/>
      <w:numFmt w:val="bullet"/>
      <w:lvlText w:val=""/>
      <w:lvlJc w:val="left"/>
      <w:pPr>
        <w:tabs>
          <w:tab w:val="num" w:pos="2880"/>
        </w:tabs>
        <w:ind w:left="2880" w:hanging="360"/>
      </w:pPr>
      <w:rPr>
        <w:rFonts w:ascii="Wingdings 2" w:hAnsi="Wingdings 2" w:hint="default"/>
      </w:rPr>
    </w:lvl>
    <w:lvl w:ilvl="4" w:tplc="FD485DDE" w:tentative="1">
      <w:start w:val="1"/>
      <w:numFmt w:val="bullet"/>
      <w:lvlText w:val=""/>
      <w:lvlJc w:val="left"/>
      <w:pPr>
        <w:tabs>
          <w:tab w:val="num" w:pos="3600"/>
        </w:tabs>
        <w:ind w:left="3600" w:hanging="360"/>
      </w:pPr>
      <w:rPr>
        <w:rFonts w:ascii="Wingdings 2" w:hAnsi="Wingdings 2" w:hint="default"/>
      </w:rPr>
    </w:lvl>
    <w:lvl w:ilvl="5" w:tplc="84E85CF2" w:tentative="1">
      <w:start w:val="1"/>
      <w:numFmt w:val="bullet"/>
      <w:lvlText w:val=""/>
      <w:lvlJc w:val="left"/>
      <w:pPr>
        <w:tabs>
          <w:tab w:val="num" w:pos="4320"/>
        </w:tabs>
        <w:ind w:left="4320" w:hanging="360"/>
      </w:pPr>
      <w:rPr>
        <w:rFonts w:ascii="Wingdings 2" w:hAnsi="Wingdings 2" w:hint="default"/>
      </w:rPr>
    </w:lvl>
    <w:lvl w:ilvl="6" w:tplc="4BA43BC6" w:tentative="1">
      <w:start w:val="1"/>
      <w:numFmt w:val="bullet"/>
      <w:lvlText w:val=""/>
      <w:lvlJc w:val="left"/>
      <w:pPr>
        <w:tabs>
          <w:tab w:val="num" w:pos="5040"/>
        </w:tabs>
        <w:ind w:left="5040" w:hanging="360"/>
      </w:pPr>
      <w:rPr>
        <w:rFonts w:ascii="Wingdings 2" w:hAnsi="Wingdings 2" w:hint="default"/>
      </w:rPr>
    </w:lvl>
    <w:lvl w:ilvl="7" w:tplc="74CE92FA" w:tentative="1">
      <w:start w:val="1"/>
      <w:numFmt w:val="bullet"/>
      <w:lvlText w:val=""/>
      <w:lvlJc w:val="left"/>
      <w:pPr>
        <w:tabs>
          <w:tab w:val="num" w:pos="5760"/>
        </w:tabs>
        <w:ind w:left="5760" w:hanging="360"/>
      </w:pPr>
      <w:rPr>
        <w:rFonts w:ascii="Wingdings 2" w:hAnsi="Wingdings 2" w:hint="default"/>
      </w:rPr>
    </w:lvl>
    <w:lvl w:ilvl="8" w:tplc="F0D24522" w:tentative="1">
      <w:start w:val="1"/>
      <w:numFmt w:val="bullet"/>
      <w:lvlText w:val=""/>
      <w:lvlJc w:val="left"/>
      <w:pPr>
        <w:tabs>
          <w:tab w:val="num" w:pos="6480"/>
        </w:tabs>
        <w:ind w:left="6480" w:hanging="360"/>
      </w:pPr>
      <w:rPr>
        <w:rFonts w:ascii="Wingdings 2" w:hAnsi="Wingdings 2" w:hint="default"/>
      </w:rPr>
    </w:lvl>
  </w:abstractNum>
  <w:abstractNum w:abstractNumId="2">
    <w:nsid w:val="0DD431A9"/>
    <w:multiLevelType w:val="hybridMultilevel"/>
    <w:tmpl w:val="B9B60700"/>
    <w:lvl w:ilvl="0" w:tplc="D3E80BBA">
      <w:start w:val="1"/>
      <w:numFmt w:val="bullet"/>
      <w:lvlText w:val=""/>
      <w:lvlJc w:val="left"/>
      <w:pPr>
        <w:tabs>
          <w:tab w:val="num" w:pos="720"/>
        </w:tabs>
        <w:ind w:left="720" w:hanging="360"/>
      </w:pPr>
      <w:rPr>
        <w:rFonts w:ascii="Wingdings" w:hAnsi="Wingdings" w:hint="default"/>
      </w:rPr>
    </w:lvl>
    <w:lvl w:ilvl="1" w:tplc="3B0481D4" w:tentative="1">
      <w:start w:val="1"/>
      <w:numFmt w:val="bullet"/>
      <w:lvlText w:val=""/>
      <w:lvlJc w:val="left"/>
      <w:pPr>
        <w:tabs>
          <w:tab w:val="num" w:pos="1440"/>
        </w:tabs>
        <w:ind w:left="1440" w:hanging="360"/>
      </w:pPr>
      <w:rPr>
        <w:rFonts w:ascii="Wingdings" w:hAnsi="Wingdings" w:hint="default"/>
      </w:rPr>
    </w:lvl>
    <w:lvl w:ilvl="2" w:tplc="44A01DDC" w:tentative="1">
      <w:start w:val="1"/>
      <w:numFmt w:val="bullet"/>
      <w:lvlText w:val=""/>
      <w:lvlJc w:val="left"/>
      <w:pPr>
        <w:tabs>
          <w:tab w:val="num" w:pos="2160"/>
        </w:tabs>
        <w:ind w:left="2160" w:hanging="360"/>
      </w:pPr>
      <w:rPr>
        <w:rFonts w:ascii="Wingdings" w:hAnsi="Wingdings" w:hint="default"/>
      </w:rPr>
    </w:lvl>
    <w:lvl w:ilvl="3" w:tplc="C7B29CA4" w:tentative="1">
      <w:start w:val="1"/>
      <w:numFmt w:val="bullet"/>
      <w:lvlText w:val=""/>
      <w:lvlJc w:val="left"/>
      <w:pPr>
        <w:tabs>
          <w:tab w:val="num" w:pos="2880"/>
        </w:tabs>
        <w:ind w:left="2880" w:hanging="360"/>
      </w:pPr>
      <w:rPr>
        <w:rFonts w:ascii="Wingdings" w:hAnsi="Wingdings" w:hint="default"/>
      </w:rPr>
    </w:lvl>
    <w:lvl w:ilvl="4" w:tplc="B678BF4C" w:tentative="1">
      <w:start w:val="1"/>
      <w:numFmt w:val="bullet"/>
      <w:lvlText w:val=""/>
      <w:lvlJc w:val="left"/>
      <w:pPr>
        <w:tabs>
          <w:tab w:val="num" w:pos="3600"/>
        </w:tabs>
        <w:ind w:left="3600" w:hanging="360"/>
      </w:pPr>
      <w:rPr>
        <w:rFonts w:ascii="Wingdings" w:hAnsi="Wingdings" w:hint="default"/>
      </w:rPr>
    </w:lvl>
    <w:lvl w:ilvl="5" w:tplc="56B4C36E" w:tentative="1">
      <w:start w:val="1"/>
      <w:numFmt w:val="bullet"/>
      <w:lvlText w:val=""/>
      <w:lvlJc w:val="left"/>
      <w:pPr>
        <w:tabs>
          <w:tab w:val="num" w:pos="4320"/>
        </w:tabs>
        <w:ind w:left="4320" w:hanging="360"/>
      </w:pPr>
      <w:rPr>
        <w:rFonts w:ascii="Wingdings" w:hAnsi="Wingdings" w:hint="default"/>
      </w:rPr>
    </w:lvl>
    <w:lvl w:ilvl="6" w:tplc="F77E3700" w:tentative="1">
      <w:start w:val="1"/>
      <w:numFmt w:val="bullet"/>
      <w:lvlText w:val=""/>
      <w:lvlJc w:val="left"/>
      <w:pPr>
        <w:tabs>
          <w:tab w:val="num" w:pos="5040"/>
        </w:tabs>
        <w:ind w:left="5040" w:hanging="360"/>
      </w:pPr>
      <w:rPr>
        <w:rFonts w:ascii="Wingdings" w:hAnsi="Wingdings" w:hint="default"/>
      </w:rPr>
    </w:lvl>
    <w:lvl w:ilvl="7" w:tplc="643E1FEA" w:tentative="1">
      <w:start w:val="1"/>
      <w:numFmt w:val="bullet"/>
      <w:lvlText w:val=""/>
      <w:lvlJc w:val="left"/>
      <w:pPr>
        <w:tabs>
          <w:tab w:val="num" w:pos="5760"/>
        </w:tabs>
        <w:ind w:left="5760" w:hanging="360"/>
      </w:pPr>
      <w:rPr>
        <w:rFonts w:ascii="Wingdings" w:hAnsi="Wingdings" w:hint="default"/>
      </w:rPr>
    </w:lvl>
    <w:lvl w:ilvl="8" w:tplc="B498A3B2" w:tentative="1">
      <w:start w:val="1"/>
      <w:numFmt w:val="bullet"/>
      <w:lvlText w:val=""/>
      <w:lvlJc w:val="left"/>
      <w:pPr>
        <w:tabs>
          <w:tab w:val="num" w:pos="6480"/>
        </w:tabs>
        <w:ind w:left="6480" w:hanging="360"/>
      </w:pPr>
      <w:rPr>
        <w:rFonts w:ascii="Wingdings" w:hAnsi="Wingdings" w:hint="default"/>
      </w:rPr>
    </w:lvl>
  </w:abstractNum>
  <w:abstractNum w:abstractNumId="3">
    <w:nsid w:val="31AC4336"/>
    <w:multiLevelType w:val="hybridMultilevel"/>
    <w:tmpl w:val="88AA74DE"/>
    <w:lvl w:ilvl="0" w:tplc="C276A8A2">
      <w:start w:val="1"/>
      <w:numFmt w:val="bullet"/>
      <w:lvlText w:val=""/>
      <w:lvlJc w:val="left"/>
      <w:pPr>
        <w:tabs>
          <w:tab w:val="num" w:pos="720"/>
        </w:tabs>
        <w:ind w:left="720" w:hanging="360"/>
      </w:pPr>
      <w:rPr>
        <w:rFonts w:ascii="Wingdings" w:hAnsi="Wingdings" w:hint="default"/>
      </w:rPr>
    </w:lvl>
    <w:lvl w:ilvl="1" w:tplc="B9347B3C" w:tentative="1">
      <w:start w:val="1"/>
      <w:numFmt w:val="bullet"/>
      <w:lvlText w:val=""/>
      <w:lvlJc w:val="left"/>
      <w:pPr>
        <w:tabs>
          <w:tab w:val="num" w:pos="1440"/>
        </w:tabs>
        <w:ind w:left="1440" w:hanging="360"/>
      </w:pPr>
      <w:rPr>
        <w:rFonts w:ascii="Wingdings" w:hAnsi="Wingdings" w:hint="default"/>
      </w:rPr>
    </w:lvl>
    <w:lvl w:ilvl="2" w:tplc="10D06804" w:tentative="1">
      <w:start w:val="1"/>
      <w:numFmt w:val="bullet"/>
      <w:lvlText w:val=""/>
      <w:lvlJc w:val="left"/>
      <w:pPr>
        <w:tabs>
          <w:tab w:val="num" w:pos="2160"/>
        </w:tabs>
        <w:ind w:left="2160" w:hanging="360"/>
      </w:pPr>
      <w:rPr>
        <w:rFonts w:ascii="Wingdings" w:hAnsi="Wingdings" w:hint="default"/>
      </w:rPr>
    </w:lvl>
    <w:lvl w:ilvl="3" w:tplc="BB46109C" w:tentative="1">
      <w:start w:val="1"/>
      <w:numFmt w:val="bullet"/>
      <w:lvlText w:val=""/>
      <w:lvlJc w:val="left"/>
      <w:pPr>
        <w:tabs>
          <w:tab w:val="num" w:pos="2880"/>
        </w:tabs>
        <w:ind w:left="2880" w:hanging="360"/>
      </w:pPr>
      <w:rPr>
        <w:rFonts w:ascii="Wingdings" w:hAnsi="Wingdings" w:hint="default"/>
      </w:rPr>
    </w:lvl>
    <w:lvl w:ilvl="4" w:tplc="846216E6" w:tentative="1">
      <w:start w:val="1"/>
      <w:numFmt w:val="bullet"/>
      <w:lvlText w:val=""/>
      <w:lvlJc w:val="left"/>
      <w:pPr>
        <w:tabs>
          <w:tab w:val="num" w:pos="3600"/>
        </w:tabs>
        <w:ind w:left="3600" w:hanging="360"/>
      </w:pPr>
      <w:rPr>
        <w:rFonts w:ascii="Wingdings" w:hAnsi="Wingdings" w:hint="default"/>
      </w:rPr>
    </w:lvl>
    <w:lvl w:ilvl="5" w:tplc="F59A9FAA" w:tentative="1">
      <w:start w:val="1"/>
      <w:numFmt w:val="bullet"/>
      <w:lvlText w:val=""/>
      <w:lvlJc w:val="left"/>
      <w:pPr>
        <w:tabs>
          <w:tab w:val="num" w:pos="4320"/>
        </w:tabs>
        <w:ind w:left="4320" w:hanging="360"/>
      </w:pPr>
      <w:rPr>
        <w:rFonts w:ascii="Wingdings" w:hAnsi="Wingdings" w:hint="default"/>
      </w:rPr>
    </w:lvl>
    <w:lvl w:ilvl="6" w:tplc="CC206886" w:tentative="1">
      <w:start w:val="1"/>
      <w:numFmt w:val="bullet"/>
      <w:lvlText w:val=""/>
      <w:lvlJc w:val="left"/>
      <w:pPr>
        <w:tabs>
          <w:tab w:val="num" w:pos="5040"/>
        </w:tabs>
        <w:ind w:left="5040" w:hanging="360"/>
      </w:pPr>
      <w:rPr>
        <w:rFonts w:ascii="Wingdings" w:hAnsi="Wingdings" w:hint="default"/>
      </w:rPr>
    </w:lvl>
    <w:lvl w:ilvl="7" w:tplc="6F6E4FD2" w:tentative="1">
      <w:start w:val="1"/>
      <w:numFmt w:val="bullet"/>
      <w:lvlText w:val=""/>
      <w:lvlJc w:val="left"/>
      <w:pPr>
        <w:tabs>
          <w:tab w:val="num" w:pos="5760"/>
        </w:tabs>
        <w:ind w:left="5760" w:hanging="360"/>
      </w:pPr>
      <w:rPr>
        <w:rFonts w:ascii="Wingdings" w:hAnsi="Wingdings" w:hint="default"/>
      </w:rPr>
    </w:lvl>
    <w:lvl w:ilvl="8" w:tplc="8F9E41CE" w:tentative="1">
      <w:start w:val="1"/>
      <w:numFmt w:val="bullet"/>
      <w:lvlText w:val=""/>
      <w:lvlJc w:val="left"/>
      <w:pPr>
        <w:tabs>
          <w:tab w:val="num" w:pos="6480"/>
        </w:tabs>
        <w:ind w:left="6480" w:hanging="360"/>
      </w:pPr>
      <w:rPr>
        <w:rFonts w:ascii="Wingdings" w:hAnsi="Wingdings" w:hint="default"/>
      </w:rPr>
    </w:lvl>
  </w:abstractNum>
  <w:abstractNum w:abstractNumId="4">
    <w:nsid w:val="78C44851"/>
    <w:multiLevelType w:val="hybridMultilevel"/>
    <w:tmpl w:val="E9BA279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1921AB"/>
    <w:rsid w:val="000059C5"/>
    <w:rsid w:val="00040409"/>
    <w:rsid w:val="00042E84"/>
    <w:rsid w:val="0006664C"/>
    <w:rsid w:val="0006668A"/>
    <w:rsid w:val="00077C16"/>
    <w:rsid w:val="00087A27"/>
    <w:rsid w:val="00090FF4"/>
    <w:rsid w:val="00094963"/>
    <w:rsid w:val="000953E5"/>
    <w:rsid w:val="000B20E8"/>
    <w:rsid w:val="000C2C69"/>
    <w:rsid w:val="000C3290"/>
    <w:rsid w:val="000D52C8"/>
    <w:rsid w:val="000E2DB4"/>
    <w:rsid w:val="000E403B"/>
    <w:rsid w:val="000F3ECD"/>
    <w:rsid w:val="00102BF5"/>
    <w:rsid w:val="001370F7"/>
    <w:rsid w:val="00152538"/>
    <w:rsid w:val="00163AB2"/>
    <w:rsid w:val="00167877"/>
    <w:rsid w:val="00171B7C"/>
    <w:rsid w:val="00173783"/>
    <w:rsid w:val="001828E5"/>
    <w:rsid w:val="00183C60"/>
    <w:rsid w:val="00186F97"/>
    <w:rsid w:val="00190972"/>
    <w:rsid w:val="001921AB"/>
    <w:rsid w:val="0019323C"/>
    <w:rsid w:val="001A76B5"/>
    <w:rsid w:val="001B728D"/>
    <w:rsid w:val="001D156F"/>
    <w:rsid w:val="001E1274"/>
    <w:rsid w:val="001E51A7"/>
    <w:rsid w:val="001F1D9C"/>
    <w:rsid w:val="0024014E"/>
    <w:rsid w:val="0024117E"/>
    <w:rsid w:val="0024268D"/>
    <w:rsid w:val="0024767C"/>
    <w:rsid w:val="002570D8"/>
    <w:rsid w:val="00260F42"/>
    <w:rsid w:val="00267AC2"/>
    <w:rsid w:val="00267F2E"/>
    <w:rsid w:val="0027097C"/>
    <w:rsid w:val="00296FDD"/>
    <w:rsid w:val="002A2EFB"/>
    <w:rsid w:val="002C39BE"/>
    <w:rsid w:val="002C6131"/>
    <w:rsid w:val="002F27BC"/>
    <w:rsid w:val="00327FDC"/>
    <w:rsid w:val="00334E15"/>
    <w:rsid w:val="00345515"/>
    <w:rsid w:val="003469D3"/>
    <w:rsid w:val="003520E9"/>
    <w:rsid w:val="00375A44"/>
    <w:rsid w:val="0037784B"/>
    <w:rsid w:val="00387BF4"/>
    <w:rsid w:val="00393E1B"/>
    <w:rsid w:val="003970E3"/>
    <w:rsid w:val="003B6DC0"/>
    <w:rsid w:val="003C2AD1"/>
    <w:rsid w:val="003C6F74"/>
    <w:rsid w:val="003D668A"/>
    <w:rsid w:val="003E243D"/>
    <w:rsid w:val="003F2512"/>
    <w:rsid w:val="003F29DB"/>
    <w:rsid w:val="003F7FDC"/>
    <w:rsid w:val="00422D23"/>
    <w:rsid w:val="00436F34"/>
    <w:rsid w:val="0045531D"/>
    <w:rsid w:val="00481AA4"/>
    <w:rsid w:val="004A44A0"/>
    <w:rsid w:val="004B0358"/>
    <w:rsid w:val="004B7848"/>
    <w:rsid w:val="004C737B"/>
    <w:rsid w:val="004E1A5D"/>
    <w:rsid w:val="004F7C23"/>
    <w:rsid w:val="00542A1F"/>
    <w:rsid w:val="00564254"/>
    <w:rsid w:val="00564DA7"/>
    <w:rsid w:val="005B37EE"/>
    <w:rsid w:val="005B5102"/>
    <w:rsid w:val="005C5BC0"/>
    <w:rsid w:val="005D01D5"/>
    <w:rsid w:val="005E0357"/>
    <w:rsid w:val="006001B3"/>
    <w:rsid w:val="00643FA6"/>
    <w:rsid w:val="0065172D"/>
    <w:rsid w:val="00675BF9"/>
    <w:rsid w:val="00686A12"/>
    <w:rsid w:val="006A531B"/>
    <w:rsid w:val="006B3F48"/>
    <w:rsid w:val="006B49E6"/>
    <w:rsid w:val="006B7A04"/>
    <w:rsid w:val="006D334A"/>
    <w:rsid w:val="0070158B"/>
    <w:rsid w:val="00707B89"/>
    <w:rsid w:val="007102C0"/>
    <w:rsid w:val="00710E61"/>
    <w:rsid w:val="0074209B"/>
    <w:rsid w:val="00761CD0"/>
    <w:rsid w:val="0076652B"/>
    <w:rsid w:val="00767773"/>
    <w:rsid w:val="00770983"/>
    <w:rsid w:val="00772E9A"/>
    <w:rsid w:val="00785576"/>
    <w:rsid w:val="00786BCB"/>
    <w:rsid w:val="007A4DA1"/>
    <w:rsid w:val="007B6A16"/>
    <w:rsid w:val="007C04B1"/>
    <w:rsid w:val="007C3D72"/>
    <w:rsid w:val="007C454C"/>
    <w:rsid w:val="007E5D1F"/>
    <w:rsid w:val="00805A79"/>
    <w:rsid w:val="00815259"/>
    <w:rsid w:val="00835A62"/>
    <w:rsid w:val="00840782"/>
    <w:rsid w:val="00863700"/>
    <w:rsid w:val="00876CD2"/>
    <w:rsid w:val="00876E6C"/>
    <w:rsid w:val="00877575"/>
    <w:rsid w:val="0089008C"/>
    <w:rsid w:val="00897A19"/>
    <w:rsid w:val="008A0F53"/>
    <w:rsid w:val="008C41B8"/>
    <w:rsid w:val="008F11E2"/>
    <w:rsid w:val="008F6144"/>
    <w:rsid w:val="009003EB"/>
    <w:rsid w:val="009034DE"/>
    <w:rsid w:val="00915358"/>
    <w:rsid w:val="009263CA"/>
    <w:rsid w:val="00940DAA"/>
    <w:rsid w:val="0095497B"/>
    <w:rsid w:val="00954D74"/>
    <w:rsid w:val="009623F1"/>
    <w:rsid w:val="00964E6B"/>
    <w:rsid w:val="00966EF0"/>
    <w:rsid w:val="00981FCE"/>
    <w:rsid w:val="009A6F5E"/>
    <w:rsid w:val="009B2322"/>
    <w:rsid w:val="009C3154"/>
    <w:rsid w:val="009C6647"/>
    <w:rsid w:val="009D6F95"/>
    <w:rsid w:val="009D7E89"/>
    <w:rsid w:val="009E5C64"/>
    <w:rsid w:val="009F4EBE"/>
    <w:rsid w:val="00A150AA"/>
    <w:rsid w:val="00A544B4"/>
    <w:rsid w:val="00A55FBD"/>
    <w:rsid w:val="00A66D68"/>
    <w:rsid w:val="00A83EBA"/>
    <w:rsid w:val="00A85551"/>
    <w:rsid w:val="00A939F6"/>
    <w:rsid w:val="00AC726E"/>
    <w:rsid w:val="00AE61BA"/>
    <w:rsid w:val="00AF2A63"/>
    <w:rsid w:val="00B37747"/>
    <w:rsid w:val="00B413FF"/>
    <w:rsid w:val="00B7200E"/>
    <w:rsid w:val="00B83591"/>
    <w:rsid w:val="00B917EF"/>
    <w:rsid w:val="00B92008"/>
    <w:rsid w:val="00BA0324"/>
    <w:rsid w:val="00BB30A2"/>
    <w:rsid w:val="00BC2E6A"/>
    <w:rsid w:val="00BC6DC5"/>
    <w:rsid w:val="00BD2B60"/>
    <w:rsid w:val="00C23FAC"/>
    <w:rsid w:val="00C36B9A"/>
    <w:rsid w:val="00C50DCA"/>
    <w:rsid w:val="00C56876"/>
    <w:rsid w:val="00C63CC1"/>
    <w:rsid w:val="00C63E0B"/>
    <w:rsid w:val="00C75B49"/>
    <w:rsid w:val="00C94196"/>
    <w:rsid w:val="00CA60B5"/>
    <w:rsid w:val="00CA7D58"/>
    <w:rsid w:val="00CB4579"/>
    <w:rsid w:val="00CC207A"/>
    <w:rsid w:val="00CF3F95"/>
    <w:rsid w:val="00D022A9"/>
    <w:rsid w:val="00D049EA"/>
    <w:rsid w:val="00D05339"/>
    <w:rsid w:val="00D145D7"/>
    <w:rsid w:val="00D15DDA"/>
    <w:rsid w:val="00D33450"/>
    <w:rsid w:val="00D42784"/>
    <w:rsid w:val="00D66A1E"/>
    <w:rsid w:val="00D72BA3"/>
    <w:rsid w:val="00D86387"/>
    <w:rsid w:val="00DA4CEB"/>
    <w:rsid w:val="00DA6934"/>
    <w:rsid w:val="00DB3906"/>
    <w:rsid w:val="00DB602A"/>
    <w:rsid w:val="00DB78DA"/>
    <w:rsid w:val="00DD3134"/>
    <w:rsid w:val="00DE49E3"/>
    <w:rsid w:val="00E17D42"/>
    <w:rsid w:val="00E30A90"/>
    <w:rsid w:val="00E356C8"/>
    <w:rsid w:val="00E37284"/>
    <w:rsid w:val="00E37BBA"/>
    <w:rsid w:val="00E42188"/>
    <w:rsid w:val="00E47ADA"/>
    <w:rsid w:val="00E515A1"/>
    <w:rsid w:val="00E64559"/>
    <w:rsid w:val="00E96239"/>
    <w:rsid w:val="00EC7B91"/>
    <w:rsid w:val="00ED4ABD"/>
    <w:rsid w:val="00EF2D7E"/>
    <w:rsid w:val="00EF7C38"/>
    <w:rsid w:val="00F05A43"/>
    <w:rsid w:val="00F10E8A"/>
    <w:rsid w:val="00F46362"/>
    <w:rsid w:val="00F839C1"/>
    <w:rsid w:val="00F861BD"/>
    <w:rsid w:val="00F929BD"/>
    <w:rsid w:val="00FA1D1A"/>
    <w:rsid w:val="00FD7F3C"/>
    <w:rsid w:val="00FE0F05"/>
    <w:rsid w:val="00FE14E3"/>
    <w:rsid w:val="00FE5C3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37B"/>
  </w:style>
  <w:style w:type="paragraph" w:styleId="Heading1">
    <w:name w:val="heading 1"/>
    <w:basedOn w:val="Normal"/>
    <w:next w:val="Normal"/>
    <w:link w:val="Heading1Char"/>
    <w:uiPriority w:val="9"/>
    <w:qFormat/>
    <w:rsid w:val="004C73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37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C737B"/>
    <w:pPr>
      <w:spacing w:after="0" w:line="240" w:lineRule="auto"/>
    </w:pPr>
  </w:style>
  <w:style w:type="paragraph" w:styleId="FootnoteText">
    <w:name w:val="footnote text"/>
    <w:basedOn w:val="Normal"/>
    <w:link w:val="FootnoteTextChar"/>
    <w:semiHidden/>
    <w:unhideWhenUsed/>
    <w:rsid w:val="001921AB"/>
    <w:pPr>
      <w:spacing w:after="0" w:line="240" w:lineRule="auto"/>
    </w:pPr>
    <w:rPr>
      <w:sz w:val="20"/>
      <w:szCs w:val="20"/>
    </w:rPr>
  </w:style>
  <w:style w:type="character" w:customStyle="1" w:styleId="FootnoteTextChar">
    <w:name w:val="Footnote Text Char"/>
    <w:basedOn w:val="DefaultParagraphFont"/>
    <w:link w:val="FootnoteText"/>
    <w:semiHidden/>
    <w:rsid w:val="001921AB"/>
    <w:rPr>
      <w:sz w:val="20"/>
      <w:szCs w:val="20"/>
    </w:rPr>
  </w:style>
  <w:style w:type="character" w:styleId="FootnoteReference">
    <w:name w:val="footnote reference"/>
    <w:basedOn w:val="DefaultParagraphFont"/>
    <w:semiHidden/>
    <w:unhideWhenUsed/>
    <w:rsid w:val="001921AB"/>
    <w:rPr>
      <w:vertAlign w:val="superscript"/>
    </w:rPr>
  </w:style>
  <w:style w:type="paragraph" w:styleId="EndnoteText">
    <w:name w:val="endnote text"/>
    <w:basedOn w:val="Normal"/>
    <w:link w:val="EndnoteTextChar"/>
    <w:uiPriority w:val="99"/>
    <w:unhideWhenUsed/>
    <w:rsid w:val="001921AB"/>
    <w:pPr>
      <w:spacing w:after="0" w:line="240" w:lineRule="auto"/>
    </w:pPr>
    <w:rPr>
      <w:sz w:val="20"/>
      <w:szCs w:val="20"/>
    </w:rPr>
  </w:style>
  <w:style w:type="character" w:customStyle="1" w:styleId="EndnoteTextChar">
    <w:name w:val="Endnote Text Char"/>
    <w:basedOn w:val="DefaultParagraphFont"/>
    <w:link w:val="EndnoteText"/>
    <w:uiPriority w:val="99"/>
    <w:rsid w:val="001921AB"/>
    <w:rPr>
      <w:sz w:val="20"/>
      <w:szCs w:val="20"/>
    </w:rPr>
  </w:style>
  <w:style w:type="character" w:styleId="EndnoteReference">
    <w:name w:val="endnote reference"/>
    <w:basedOn w:val="DefaultParagraphFont"/>
    <w:uiPriority w:val="99"/>
    <w:semiHidden/>
    <w:unhideWhenUsed/>
    <w:rsid w:val="009D6F95"/>
    <w:rPr>
      <w:vertAlign w:val="superscript"/>
    </w:rPr>
  </w:style>
  <w:style w:type="paragraph" w:styleId="Header">
    <w:name w:val="header"/>
    <w:basedOn w:val="Normal"/>
    <w:link w:val="HeaderChar"/>
    <w:uiPriority w:val="99"/>
    <w:unhideWhenUsed/>
    <w:rsid w:val="00B83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591"/>
  </w:style>
  <w:style w:type="paragraph" w:styleId="Footer">
    <w:name w:val="footer"/>
    <w:basedOn w:val="Normal"/>
    <w:link w:val="FooterChar"/>
    <w:uiPriority w:val="99"/>
    <w:semiHidden/>
    <w:unhideWhenUsed/>
    <w:rsid w:val="00B8359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83591"/>
  </w:style>
  <w:style w:type="paragraph" w:styleId="ListParagraph">
    <w:name w:val="List Paragraph"/>
    <w:basedOn w:val="Normal"/>
    <w:uiPriority w:val="34"/>
    <w:qFormat/>
    <w:rsid w:val="009263CA"/>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60257345">
      <w:bodyDiv w:val="1"/>
      <w:marLeft w:val="0"/>
      <w:marRight w:val="0"/>
      <w:marTop w:val="0"/>
      <w:marBottom w:val="0"/>
      <w:divBdr>
        <w:top w:val="none" w:sz="0" w:space="0" w:color="auto"/>
        <w:left w:val="none" w:sz="0" w:space="0" w:color="auto"/>
        <w:bottom w:val="none" w:sz="0" w:space="0" w:color="auto"/>
        <w:right w:val="none" w:sz="0" w:space="0" w:color="auto"/>
      </w:divBdr>
    </w:div>
    <w:div w:id="114906882">
      <w:bodyDiv w:val="1"/>
      <w:marLeft w:val="0"/>
      <w:marRight w:val="0"/>
      <w:marTop w:val="0"/>
      <w:marBottom w:val="0"/>
      <w:divBdr>
        <w:top w:val="none" w:sz="0" w:space="0" w:color="auto"/>
        <w:left w:val="none" w:sz="0" w:space="0" w:color="auto"/>
        <w:bottom w:val="none" w:sz="0" w:space="0" w:color="auto"/>
        <w:right w:val="none" w:sz="0" w:space="0" w:color="auto"/>
      </w:divBdr>
    </w:div>
    <w:div w:id="169217640">
      <w:bodyDiv w:val="1"/>
      <w:marLeft w:val="0"/>
      <w:marRight w:val="0"/>
      <w:marTop w:val="0"/>
      <w:marBottom w:val="0"/>
      <w:divBdr>
        <w:top w:val="none" w:sz="0" w:space="0" w:color="auto"/>
        <w:left w:val="none" w:sz="0" w:space="0" w:color="auto"/>
        <w:bottom w:val="none" w:sz="0" w:space="0" w:color="auto"/>
        <w:right w:val="none" w:sz="0" w:space="0" w:color="auto"/>
      </w:divBdr>
    </w:div>
    <w:div w:id="190849323">
      <w:bodyDiv w:val="1"/>
      <w:marLeft w:val="0"/>
      <w:marRight w:val="0"/>
      <w:marTop w:val="0"/>
      <w:marBottom w:val="0"/>
      <w:divBdr>
        <w:top w:val="none" w:sz="0" w:space="0" w:color="auto"/>
        <w:left w:val="none" w:sz="0" w:space="0" w:color="auto"/>
        <w:bottom w:val="none" w:sz="0" w:space="0" w:color="auto"/>
        <w:right w:val="none" w:sz="0" w:space="0" w:color="auto"/>
      </w:divBdr>
    </w:div>
    <w:div w:id="266737590">
      <w:bodyDiv w:val="1"/>
      <w:marLeft w:val="0"/>
      <w:marRight w:val="0"/>
      <w:marTop w:val="0"/>
      <w:marBottom w:val="0"/>
      <w:divBdr>
        <w:top w:val="none" w:sz="0" w:space="0" w:color="auto"/>
        <w:left w:val="none" w:sz="0" w:space="0" w:color="auto"/>
        <w:bottom w:val="none" w:sz="0" w:space="0" w:color="auto"/>
        <w:right w:val="none" w:sz="0" w:space="0" w:color="auto"/>
      </w:divBdr>
      <w:divsChild>
        <w:div w:id="799887182">
          <w:marLeft w:val="965"/>
          <w:marRight w:val="0"/>
          <w:marTop w:val="134"/>
          <w:marBottom w:val="0"/>
          <w:divBdr>
            <w:top w:val="none" w:sz="0" w:space="0" w:color="auto"/>
            <w:left w:val="none" w:sz="0" w:space="0" w:color="auto"/>
            <w:bottom w:val="none" w:sz="0" w:space="0" w:color="auto"/>
            <w:right w:val="none" w:sz="0" w:space="0" w:color="auto"/>
          </w:divBdr>
        </w:div>
        <w:div w:id="175535406">
          <w:marLeft w:val="965"/>
          <w:marRight w:val="0"/>
          <w:marTop w:val="134"/>
          <w:marBottom w:val="0"/>
          <w:divBdr>
            <w:top w:val="none" w:sz="0" w:space="0" w:color="auto"/>
            <w:left w:val="none" w:sz="0" w:space="0" w:color="auto"/>
            <w:bottom w:val="none" w:sz="0" w:space="0" w:color="auto"/>
            <w:right w:val="none" w:sz="0" w:space="0" w:color="auto"/>
          </w:divBdr>
        </w:div>
      </w:divsChild>
    </w:div>
    <w:div w:id="280848058">
      <w:bodyDiv w:val="1"/>
      <w:marLeft w:val="0"/>
      <w:marRight w:val="0"/>
      <w:marTop w:val="0"/>
      <w:marBottom w:val="0"/>
      <w:divBdr>
        <w:top w:val="none" w:sz="0" w:space="0" w:color="auto"/>
        <w:left w:val="none" w:sz="0" w:space="0" w:color="auto"/>
        <w:bottom w:val="none" w:sz="0" w:space="0" w:color="auto"/>
        <w:right w:val="none" w:sz="0" w:space="0" w:color="auto"/>
      </w:divBdr>
      <w:divsChild>
        <w:div w:id="1573151728">
          <w:marLeft w:val="432"/>
          <w:marRight w:val="0"/>
          <w:marTop w:val="115"/>
          <w:marBottom w:val="0"/>
          <w:divBdr>
            <w:top w:val="none" w:sz="0" w:space="0" w:color="auto"/>
            <w:left w:val="none" w:sz="0" w:space="0" w:color="auto"/>
            <w:bottom w:val="none" w:sz="0" w:space="0" w:color="auto"/>
            <w:right w:val="none" w:sz="0" w:space="0" w:color="auto"/>
          </w:divBdr>
        </w:div>
        <w:div w:id="516387983">
          <w:marLeft w:val="432"/>
          <w:marRight w:val="0"/>
          <w:marTop w:val="115"/>
          <w:marBottom w:val="0"/>
          <w:divBdr>
            <w:top w:val="none" w:sz="0" w:space="0" w:color="auto"/>
            <w:left w:val="none" w:sz="0" w:space="0" w:color="auto"/>
            <w:bottom w:val="none" w:sz="0" w:space="0" w:color="auto"/>
            <w:right w:val="none" w:sz="0" w:space="0" w:color="auto"/>
          </w:divBdr>
        </w:div>
        <w:div w:id="1224944064">
          <w:marLeft w:val="432"/>
          <w:marRight w:val="0"/>
          <w:marTop w:val="115"/>
          <w:marBottom w:val="0"/>
          <w:divBdr>
            <w:top w:val="none" w:sz="0" w:space="0" w:color="auto"/>
            <w:left w:val="none" w:sz="0" w:space="0" w:color="auto"/>
            <w:bottom w:val="none" w:sz="0" w:space="0" w:color="auto"/>
            <w:right w:val="none" w:sz="0" w:space="0" w:color="auto"/>
          </w:divBdr>
        </w:div>
        <w:div w:id="1160459248">
          <w:marLeft w:val="432"/>
          <w:marRight w:val="0"/>
          <w:marTop w:val="115"/>
          <w:marBottom w:val="0"/>
          <w:divBdr>
            <w:top w:val="none" w:sz="0" w:space="0" w:color="auto"/>
            <w:left w:val="none" w:sz="0" w:space="0" w:color="auto"/>
            <w:bottom w:val="none" w:sz="0" w:space="0" w:color="auto"/>
            <w:right w:val="none" w:sz="0" w:space="0" w:color="auto"/>
          </w:divBdr>
        </w:div>
        <w:div w:id="325206791">
          <w:marLeft w:val="432"/>
          <w:marRight w:val="0"/>
          <w:marTop w:val="115"/>
          <w:marBottom w:val="0"/>
          <w:divBdr>
            <w:top w:val="none" w:sz="0" w:space="0" w:color="auto"/>
            <w:left w:val="none" w:sz="0" w:space="0" w:color="auto"/>
            <w:bottom w:val="none" w:sz="0" w:space="0" w:color="auto"/>
            <w:right w:val="none" w:sz="0" w:space="0" w:color="auto"/>
          </w:divBdr>
        </w:div>
      </w:divsChild>
    </w:div>
    <w:div w:id="341393872">
      <w:bodyDiv w:val="1"/>
      <w:marLeft w:val="0"/>
      <w:marRight w:val="0"/>
      <w:marTop w:val="0"/>
      <w:marBottom w:val="0"/>
      <w:divBdr>
        <w:top w:val="none" w:sz="0" w:space="0" w:color="auto"/>
        <w:left w:val="none" w:sz="0" w:space="0" w:color="auto"/>
        <w:bottom w:val="none" w:sz="0" w:space="0" w:color="auto"/>
        <w:right w:val="none" w:sz="0" w:space="0" w:color="auto"/>
      </w:divBdr>
    </w:div>
    <w:div w:id="351297648">
      <w:bodyDiv w:val="1"/>
      <w:marLeft w:val="0"/>
      <w:marRight w:val="0"/>
      <w:marTop w:val="0"/>
      <w:marBottom w:val="0"/>
      <w:divBdr>
        <w:top w:val="none" w:sz="0" w:space="0" w:color="auto"/>
        <w:left w:val="none" w:sz="0" w:space="0" w:color="auto"/>
        <w:bottom w:val="none" w:sz="0" w:space="0" w:color="auto"/>
        <w:right w:val="none" w:sz="0" w:space="0" w:color="auto"/>
      </w:divBdr>
    </w:div>
    <w:div w:id="353768651">
      <w:bodyDiv w:val="1"/>
      <w:marLeft w:val="0"/>
      <w:marRight w:val="0"/>
      <w:marTop w:val="0"/>
      <w:marBottom w:val="0"/>
      <w:divBdr>
        <w:top w:val="none" w:sz="0" w:space="0" w:color="auto"/>
        <w:left w:val="none" w:sz="0" w:space="0" w:color="auto"/>
        <w:bottom w:val="none" w:sz="0" w:space="0" w:color="auto"/>
        <w:right w:val="none" w:sz="0" w:space="0" w:color="auto"/>
      </w:divBdr>
    </w:div>
    <w:div w:id="401568427">
      <w:bodyDiv w:val="1"/>
      <w:marLeft w:val="0"/>
      <w:marRight w:val="0"/>
      <w:marTop w:val="0"/>
      <w:marBottom w:val="0"/>
      <w:divBdr>
        <w:top w:val="none" w:sz="0" w:space="0" w:color="auto"/>
        <w:left w:val="none" w:sz="0" w:space="0" w:color="auto"/>
        <w:bottom w:val="none" w:sz="0" w:space="0" w:color="auto"/>
        <w:right w:val="none" w:sz="0" w:space="0" w:color="auto"/>
      </w:divBdr>
    </w:div>
    <w:div w:id="514154858">
      <w:bodyDiv w:val="1"/>
      <w:marLeft w:val="0"/>
      <w:marRight w:val="0"/>
      <w:marTop w:val="0"/>
      <w:marBottom w:val="0"/>
      <w:divBdr>
        <w:top w:val="none" w:sz="0" w:space="0" w:color="auto"/>
        <w:left w:val="none" w:sz="0" w:space="0" w:color="auto"/>
        <w:bottom w:val="none" w:sz="0" w:space="0" w:color="auto"/>
        <w:right w:val="none" w:sz="0" w:space="0" w:color="auto"/>
      </w:divBdr>
    </w:div>
    <w:div w:id="580602227">
      <w:bodyDiv w:val="1"/>
      <w:marLeft w:val="0"/>
      <w:marRight w:val="0"/>
      <w:marTop w:val="0"/>
      <w:marBottom w:val="0"/>
      <w:divBdr>
        <w:top w:val="none" w:sz="0" w:space="0" w:color="auto"/>
        <w:left w:val="none" w:sz="0" w:space="0" w:color="auto"/>
        <w:bottom w:val="none" w:sz="0" w:space="0" w:color="auto"/>
        <w:right w:val="none" w:sz="0" w:space="0" w:color="auto"/>
      </w:divBdr>
    </w:div>
    <w:div w:id="582178628">
      <w:bodyDiv w:val="1"/>
      <w:marLeft w:val="0"/>
      <w:marRight w:val="0"/>
      <w:marTop w:val="0"/>
      <w:marBottom w:val="0"/>
      <w:divBdr>
        <w:top w:val="none" w:sz="0" w:space="0" w:color="auto"/>
        <w:left w:val="none" w:sz="0" w:space="0" w:color="auto"/>
        <w:bottom w:val="none" w:sz="0" w:space="0" w:color="auto"/>
        <w:right w:val="none" w:sz="0" w:space="0" w:color="auto"/>
      </w:divBdr>
    </w:div>
    <w:div w:id="629439016">
      <w:bodyDiv w:val="1"/>
      <w:marLeft w:val="0"/>
      <w:marRight w:val="0"/>
      <w:marTop w:val="0"/>
      <w:marBottom w:val="0"/>
      <w:divBdr>
        <w:top w:val="none" w:sz="0" w:space="0" w:color="auto"/>
        <w:left w:val="none" w:sz="0" w:space="0" w:color="auto"/>
        <w:bottom w:val="none" w:sz="0" w:space="0" w:color="auto"/>
        <w:right w:val="none" w:sz="0" w:space="0" w:color="auto"/>
      </w:divBdr>
    </w:div>
    <w:div w:id="664473030">
      <w:bodyDiv w:val="1"/>
      <w:marLeft w:val="0"/>
      <w:marRight w:val="0"/>
      <w:marTop w:val="0"/>
      <w:marBottom w:val="0"/>
      <w:divBdr>
        <w:top w:val="none" w:sz="0" w:space="0" w:color="auto"/>
        <w:left w:val="none" w:sz="0" w:space="0" w:color="auto"/>
        <w:bottom w:val="none" w:sz="0" w:space="0" w:color="auto"/>
        <w:right w:val="none" w:sz="0" w:space="0" w:color="auto"/>
      </w:divBdr>
      <w:divsChild>
        <w:div w:id="1804536020">
          <w:marLeft w:val="965"/>
          <w:marRight w:val="0"/>
          <w:marTop w:val="134"/>
          <w:marBottom w:val="0"/>
          <w:divBdr>
            <w:top w:val="none" w:sz="0" w:space="0" w:color="auto"/>
            <w:left w:val="none" w:sz="0" w:space="0" w:color="auto"/>
            <w:bottom w:val="none" w:sz="0" w:space="0" w:color="auto"/>
            <w:right w:val="none" w:sz="0" w:space="0" w:color="auto"/>
          </w:divBdr>
        </w:div>
        <w:div w:id="1128086089">
          <w:marLeft w:val="965"/>
          <w:marRight w:val="0"/>
          <w:marTop w:val="134"/>
          <w:marBottom w:val="0"/>
          <w:divBdr>
            <w:top w:val="none" w:sz="0" w:space="0" w:color="auto"/>
            <w:left w:val="none" w:sz="0" w:space="0" w:color="auto"/>
            <w:bottom w:val="none" w:sz="0" w:space="0" w:color="auto"/>
            <w:right w:val="none" w:sz="0" w:space="0" w:color="auto"/>
          </w:divBdr>
        </w:div>
        <w:div w:id="380324774">
          <w:marLeft w:val="965"/>
          <w:marRight w:val="0"/>
          <w:marTop w:val="134"/>
          <w:marBottom w:val="0"/>
          <w:divBdr>
            <w:top w:val="none" w:sz="0" w:space="0" w:color="auto"/>
            <w:left w:val="none" w:sz="0" w:space="0" w:color="auto"/>
            <w:bottom w:val="none" w:sz="0" w:space="0" w:color="auto"/>
            <w:right w:val="none" w:sz="0" w:space="0" w:color="auto"/>
          </w:divBdr>
        </w:div>
        <w:div w:id="892349117">
          <w:marLeft w:val="965"/>
          <w:marRight w:val="0"/>
          <w:marTop w:val="134"/>
          <w:marBottom w:val="0"/>
          <w:divBdr>
            <w:top w:val="none" w:sz="0" w:space="0" w:color="auto"/>
            <w:left w:val="none" w:sz="0" w:space="0" w:color="auto"/>
            <w:bottom w:val="none" w:sz="0" w:space="0" w:color="auto"/>
            <w:right w:val="none" w:sz="0" w:space="0" w:color="auto"/>
          </w:divBdr>
        </w:div>
      </w:divsChild>
    </w:div>
    <w:div w:id="744642507">
      <w:bodyDiv w:val="1"/>
      <w:marLeft w:val="0"/>
      <w:marRight w:val="0"/>
      <w:marTop w:val="0"/>
      <w:marBottom w:val="0"/>
      <w:divBdr>
        <w:top w:val="none" w:sz="0" w:space="0" w:color="auto"/>
        <w:left w:val="none" w:sz="0" w:space="0" w:color="auto"/>
        <w:bottom w:val="none" w:sz="0" w:space="0" w:color="auto"/>
        <w:right w:val="none" w:sz="0" w:space="0" w:color="auto"/>
      </w:divBdr>
    </w:div>
    <w:div w:id="748968249">
      <w:bodyDiv w:val="1"/>
      <w:marLeft w:val="0"/>
      <w:marRight w:val="0"/>
      <w:marTop w:val="0"/>
      <w:marBottom w:val="0"/>
      <w:divBdr>
        <w:top w:val="none" w:sz="0" w:space="0" w:color="auto"/>
        <w:left w:val="none" w:sz="0" w:space="0" w:color="auto"/>
        <w:bottom w:val="none" w:sz="0" w:space="0" w:color="auto"/>
        <w:right w:val="none" w:sz="0" w:space="0" w:color="auto"/>
      </w:divBdr>
    </w:div>
    <w:div w:id="828054214">
      <w:bodyDiv w:val="1"/>
      <w:marLeft w:val="0"/>
      <w:marRight w:val="0"/>
      <w:marTop w:val="0"/>
      <w:marBottom w:val="0"/>
      <w:divBdr>
        <w:top w:val="none" w:sz="0" w:space="0" w:color="auto"/>
        <w:left w:val="none" w:sz="0" w:space="0" w:color="auto"/>
        <w:bottom w:val="none" w:sz="0" w:space="0" w:color="auto"/>
        <w:right w:val="none" w:sz="0" w:space="0" w:color="auto"/>
      </w:divBdr>
    </w:div>
    <w:div w:id="954100702">
      <w:bodyDiv w:val="1"/>
      <w:marLeft w:val="0"/>
      <w:marRight w:val="0"/>
      <w:marTop w:val="0"/>
      <w:marBottom w:val="0"/>
      <w:divBdr>
        <w:top w:val="none" w:sz="0" w:space="0" w:color="auto"/>
        <w:left w:val="none" w:sz="0" w:space="0" w:color="auto"/>
        <w:bottom w:val="none" w:sz="0" w:space="0" w:color="auto"/>
        <w:right w:val="none" w:sz="0" w:space="0" w:color="auto"/>
      </w:divBdr>
    </w:div>
    <w:div w:id="986589231">
      <w:bodyDiv w:val="1"/>
      <w:marLeft w:val="0"/>
      <w:marRight w:val="0"/>
      <w:marTop w:val="0"/>
      <w:marBottom w:val="0"/>
      <w:divBdr>
        <w:top w:val="none" w:sz="0" w:space="0" w:color="auto"/>
        <w:left w:val="none" w:sz="0" w:space="0" w:color="auto"/>
        <w:bottom w:val="none" w:sz="0" w:space="0" w:color="auto"/>
        <w:right w:val="none" w:sz="0" w:space="0" w:color="auto"/>
      </w:divBdr>
    </w:div>
    <w:div w:id="1137062535">
      <w:bodyDiv w:val="1"/>
      <w:marLeft w:val="0"/>
      <w:marRight w:val="0"/>
      <w:marTop w:val="0"/>
      <w:marBottom w:val="0"/>
      <w:divBdr>
        <w:top w:val="none" w:sz="0" w:space="0" w:color="auto"/>
        <w:left w:val="none" w:sz="0" w:space="0" w:color="auto"/>
        <w:bottom w:val="none" w:sz="0" w:space="0" w:color="auto"/>
        <w:right w:val="none" w:sz="0" w:space="0" w:color="auto"/>
      </w:divBdr>
    </w:div>
    <w:div w:id="1137838055">
      <w:bodyDiv w:val="1"/>
      <w:marLeft w:val="0"/>
      <w:marRight w:val="0"/>
      <w:marTop w:val="0"/>
      <w:marBottom w:val="0"/>
      <w:divBdr>
        <w:top w:val="none" w:sz="0" w:space="0" w:color="auto"/>
        <w:left w:val="none" w:sz="0" w:space="0" w:color="auto"/>
        <w:bottom w:val="none" w:sz="0" w:space="0" w:color="auto"/>
        <w:right w:val="none" w:sz="0" w:space="0" w:color="auto"/>
      </w:divBdr>
    </w:div>
    <w:div w:id="1138183667">
      <w:bodyDiv w:val="1"/>
      <w:marLeft w:val="0"/>
      <w:marRight w:val="0"/>
      <w:marTop w:val="0"/>
      <w:marBottom w:val="0"/>
      <w:divBdr>
        <w:top w:val="none" w:sz="0" w:space="0" w:color="auto"/>
        <w:left w:val="none" w:sz="0" w:space="0" w:color="auto"/>
        <w:bottom w:val="none" w:sz="0" w:space="0" w:color="auto"/>
        <w:right w:val="none" w:sz="0" w:space="0" w:color="auto"/>
      </w:divBdr>
    </w:div>
    <w:div w:id="1183788836">
      <w:bodyDiv w:val="1"/>
      <w:marLeft w:val="0"/>
      <w:marRight w:val="0"/>
      <w:marTop w:val="0"/>
      <w:marBottom w:val="0"/>
      <w:divBdr>
        <w:top w:val="none" w:sz="0" w:space="0" w:color="auto"/>
        <w:left w:val="none" w:sz="0" w:space="0" w:color="auto"/>
        <w:bottom w:val="none" w:sz="0" w:space="0" w:color="auto"/>
        <w:right w:val="none" w:sz="0" w:space="0" w:color="auto"/>
      </w:divBdr>
    </w:div>
    <w:div w:id="1233202826">
      <w:bodyDiv w:val="1"/>
      <w:marLeft w:val="0"/>
      <w:marRight w:val="0"/>
      <w:marTop w:val="0"/>
      <w:marBottom w:val="0"/>
      <w:divBdr>
        <w:top w:val="none" w:sz="0" w:space="0" w:color="auto"/>
        <w:left w:val="none" w:sz="0" w:space="0" w:color="auto"/>
        <w:bottom w:val="none" w:sz="0" w:space="0" w:color="auto"/>
        <w:right w:val="none" w:sz="0" w:space="0" w:color="auto"/>
      </w:divBdr>
    </w:div>
    <w:div w:id="1280186585">
      <w:bodyDiv w:val="1"/>
      <w:marLeft w:val="0"/>
      <w:marRight w:val="0"/>
      <w:marTop w:val="0"/>
      <w:marBottom w:val="0"/>
      <w:divBdr>
        <w:top w:val="none" w:sz="0" w:space="0" w:color="auto"/>
        <w:left w:val="none" w:sz="0" w:space="0" w:color="auto"/>
        <w:bottom w:val="none" w:sz="0" w:space="0" w:color="auto"/>
        <w:right w:val="none" w:sz="0" w:space="0" w:color="auto"/>
      </w:divBdr>
    </w:div>
    <w:div w:id="1324579857">
      <w:bodyDiv w:val="1"/>
      <w:marLeft w:val="0"/>
      <w:marRight w:val="0"/>
      <w:marTop w:val="0"/>
      <w:marBottom w:val="0"/>
      <w:divBdr>
        <w:top w:val="none" w:sz="0" w:space="0" w:color="auto"/>
        <w:left w:val="none" w:sz="0" w:space="0" w:color="auto"/>
        <w:bottom w:val="none" w:sz="0" w:space="0" w:color="auto"/>
        <w:right w:val="none" w:sz="0" w:space="0" w:color="auto"/>
      </w:divBdr>
    </w:div>
    <w:div w:id="1515656263">
      <w:bodyDiv w:val="1"/>
      <w:marLeft w:val="0"/>
      <w:marRight w:val="0"/>
      <w:marTop w:val="0"/>
      <w:marBottom w:val="0"/>
      <w:divBdr>
        <w:top w:val="none" w:sz="0" w:space="0" w:color="auto"/>
        <w:left w:val="none" w:sz="0" w:space="0" w:color="auto"/>
        <w:bottom w:val="none" w:sz="0" w:space="0" w:color="auto"/>
        <w:right w:val="none" w:sz="0" w:space="0" w:color="auto"/>
      </w:divBdr>
    </w:div>
    <w:div w:id="1553268865">
      <w:bodyDiv w:val="1"/>
      <w:marLeft w:val="0"/>
      <w:marRight w:val="0"/>
      <w:marTop w:val="0"/>
      <w:marBottom w:val="0"/>
      <w:divBdr>
        <w:top w:val="none" w:sz="0" w:space="0" w:color="auto"/>
        <w:left w:val="none" w:sz="0" w:space="0" w:color="auto"/>
        <w:bottom w:val="none" w:sz="0" w:space="0" w:color="auto"/>
        <w:right w:val="none" w:sz="0" w:space="0" w:color="auto"/>
      </w:divBdr>
    </w:div>
    <w:div w:id="1581215098">
      <w:bodyDiv w:val="1"/>
      <w:marLeft w:val="0"/>
      <w:marRight w:val="0"/>
      <w:marTop w:val="0"/>
      <w:marBottom w:val="0"/>
      <w:divBdr>
        <w:top w:val="none" w:sz="0" w:space="0" w:color="auto"/>
        <w:left w:val="none" w:sz="0" w:space="0" w:color="auto"/>
        <w:bottom w:val="none" w:sz="0" w:space="0" w:color="auto"/>
        <w:right w:val="none" w:sz="0" w:space="0" w:color="auto"/>
      </w:divBdr>
    </w:div>
    <w:div w:id="1619410528">
      <w:bodyDiv w:val="1"/>
      <w:marLeft w:val="0"/>
      <w:marRight w:val="0"/>
      <w:marTop w:val="0"/>
      <w:marBottom w:val="0"/>
      <w:divBdr>
        <w:top w:val="none" w:sz="0" w:space="0" w:color="auto"/>
        <w:left w:val="none" w:sz="0" w:space="0" w:color="auto"/>
        <w:bottom w:val="none" w:sz="0" w:space="0" w:color="auto"/>
        <w:right w:val="none" w:sz="0" w:space="0" w:color="auto"/>
      </w:divBdr>
    </w:div>
    <w:div w:id="1639991847">
      <w:bodyDiv w:val="1"/>
      <w:marLeft w:val="0"/>
      <w:marRight w:val="0"/>
      <w:marTop w:val="0"/>
      <w:marBottom w:val="0"/>
      <w:divBdr>
        <w:top w:val="none" w:sz="0" w:space="0" w:color="auto"/>
        <w:left w:val="none" w:sz="0" w:space="0" w:color="auto"/>
        <w:bottom w:val="none" w:sz="0" w:space="0" w:color="auto"/>
        <w:right w:val="none" w:sz="0" w:space="0" w:color="auto"/>
      </w:divBdr>
    </w:div>
    <w:div w:id="1663241682">
      <w:bodyDiv w:val="1"/>
      <w:marLeft w:val="0"/>
      <w:marRight w:val="0"/>
      <w:marTop w:val="0"/>
      <w:marBottom w:val="0"/>
      <w:divBdr>
        <w:top w:val="none" w:sz="0" w:space="0" w:color="auto"/>
        <w:left w:val="none" w:sz="0" w:space="0" w:color="auto"/>
        <w:bottom w:val="none" w:sz="0" w:space="0" w:color="auto"/>
        <w:right w:val="none" w:sz="0" w:space="0" w:color="auto"/>
      </w:divBdr>
    </w:div>
    <w:div w:id="1683122100">
      <w:bodyDiv w:val="1"/>
      <w:marLeft w:val="0"/>
      <w:marRight w:val="0"/>
      <w:marTop w:val="0"/>
      <w:marBottom w:val="0"/>
      <w:divBdr>
        <w:top w:val="none" w:sz="0" w:space="0" w:color="auto"/>
        <w:left w:val="none" w:sz="0" w:space="0" w:color="auto"/>
        <w:bottom w:val="none" w:sz="0" w:space="0" w:color="auto"/>
        <w:right w:val="none" w:sz="0" w:space="0" w:color="auto"/>
      </w:divBdr>
    </w:div>
    <w:div w:id="1799452190">
      <w:bodyDiv w:val="1"/>
      <w:marLeft w:val="0"/>
      <w:marRight w:val="0"/>
      <w:marTop w:val="0"/>
      <w:marBottom w:val="0"/>
      <w:divBdr>
        <w:top w:val="none" w:sz="0" w:space="0" w:color="auto"/>
        <w:left w:val="none" w:sz="0" w:space="0" w:color="auto"/>
        <w:bottom w:val="none" w:sz="0" w:space="0" w:color="auto"/>
        <w:right w:val="none" w:sz="0" w:space="0" w:color="auto"/>
      </w:divBdr>
    </w:div>
    <w:div w:id="1886406354">
      <w:bodyDiv w:val="1"/>
      <w:marLeft w:val="0"/>
      <w:marRight w:val="0"/>
      <w:marTop w:val="0"/>
      <w:marBottom w:val="0"/>
      <w:divBdr>
        <w:top w:val="none" w:sz="0" w:space="0" w:color="auto"/>
        <w:left w:val="none" w:sz="0" w:space="0" w:color="auto"/>
        <w:bottom w:val="none" w:sz="0" w:space="0" w:color="auto"/>
        <w:right w:val="none" w:sz="0" w:space="0" w:color="auto"/>
      </w:divBdr>
    </w:div>
    <w:div w:id="2038382809">
      <w:bodyDiv w:val="1"/>
      <w:marLeft w:val="0"/>
      <w:marRight w:val="0"/>
      <w:marTop w:val="0"/>
      <w:marBottom w:val="0"/>
      <w:divBdr>
        <w:top w:val="none" w:sz="0" w:space="0" w:color="auto"/>
        <w:left w:val="none" w:sz="0" w:space="0" w:color="auto"/>
        <w:bottom w:val="none" w:sz="0" w:space="0" w:color="auto"/>
        <w:right w:val="none" w:sz="0" w:space="0" w:color="auto"/>
      </w:divBdr>
    </w:div>
    <w:div w:id="2038847995">
      <w:bodyDiv w:val="1"/>
      <w:marLeft w:val="0"/>
      <w:marRight w:val="0"/>
      <w:marTop w:val="0"/>
      <w:marBottom w:val="0"/>
      <w:divBdr>
        <w:top w:val="none" w:sz="0" w:space="0" w:color="auto"/>
        <w:left w:val="none" w:sz="0" w:space="0" w:color="auto"/>
        <w:bottom w:val="none" w:sz="0" w:space="0" w:color="auto"/>
        <w:right w:val="none" w:sz="0" w:space="0" w:color="auto"/>
      </w:divBdr>
    </w:div>
    <w:div w:id="2061975221">
      <w:bodyDiv w:val="1"/>
      <w:marLeft w:val="0"/>
      <w:marRight w:val="0"/>
      <w:marTop w:val="0"/>
      <w:marBottom w:val="0"/>
      <w:divBdr>
        <w:top w:val="none" w:sz="0" w:space="0" w:color="auto"/>
        <w:left w:val="none" w:sz="0" w:space="0" w:color="auto"/>
        <w:bottom w:val="none" w:sz="0" w:space="0" w:color="auto"/>
        <w:right w:val="none" w:sz="0" w:space="0" w:color="auto"/>
      </w:divBdr>
    </w:div>
    <w:div w:id="2072539091">
      <w:bodyDiv w:val="1"/>
      <w:marLeft w:val="0"/>
      <w:marRight w:val="0"/>
      <w:marTop w:val="0"/>
      <w:marBottom w:val="0"/>
      <w:divBdr>
        <w:top w:val="none" w:sz="0" w:space="0" w:color="auto"/>
        <w:left w:val="none" w:sz="0" w:space="0" w:color="auto"/>
        <w:bottom w:val="none" w:sz="0" w:space="0" w:color="auto"/>
        <w:right w:val="none" w:sz="0" w:space="0" w:color="auto"/>
      </w:divBdr>
    </w:div>
    <w:div w:id="2118863564">
      <w:bodyDiv w:val="1"/>
      <w:marLeft w:val="0"/>
      <w:marRight w:val="0"/>
      <w:marTop w:val="0"/>
      <w:marBottom w:val="0"/>
      <w:divBdr>
        <w:top w:val="none" w:sz="0" w:space="0" w:color="auto"/>
        <w:left w:val="none" w:sz="0" w:space="0" w:color="auto"/>
        <w:bottom w:val="none" w:sz="0" w:space="0" w:color="auto"/>
        <w:right w:val="none" w:sz="0" w:space="0" w:color="auto"/>
      </w:divBdr>
    </w:div>
    <w:div w:id="213243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887DF01-79A2-4394-9A5A-2A4BBB42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3200</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Watts</dc:creator>
  <cp:lastModifiedBy>Ruth Watts</cp:lastModifiedBy>
  <cp:revision>10</cp:revision>
  <cp:lastPrinted>2012-06-24T16:46:00Z</cp:lastPrinted>
  <dcterms:created xsi:type="dcterms:W3CDTF">2012-11-19T11:37:00Z</dcterms:created>
  <dcterms:modified xsi:type="dcterms:W3CDTF">2012-11-19T13:17:00Z</dcterms:modified>
</cp:coreProperties>
</file>